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54C50" w14:textId="77777777" w:rsidR="008E40CE" w:rsidRPr="008E40CE" w:rsidRDefault="008E40CE" w:rsidP="008E40CE">
      <w:pPr>
        <w:pStyle w:val="SemEspaamento"/>
        <w:shd w:val="clear" w:color="auto" w:fill="FFFF99"/>
        <w:ind w:right="-568"/>
        <w:jc w:val="both"/>
        <w:rPr>
          <w:rFonts w:ascii="Arial Narrow" w:hAnsi="Arial Narrow"/>
          <w:b/>
          <w:sz w:val="24"/>
          <w:szCs w:val="24"/>
        </w:rPr>
      </w:pPr>
      <w:r w:rsidRPr="008E40CE">
        <w:rPr>
          <w:rFonts w:ascii="Arial Narrow" w:hAnsi="Arial Narrow"/>
          <w:b/>
          <w:sz w:val="24"/>
          <w:szCs w:val="24"/>
        </w:rPr>
        <w:t>AVISO IMPORTANTE: Art. 63. Inciso II da Lei 14.133/2021, na fase de habilitação será exigida a apresentação dos documentos de habilitação apenas pelo licitante vencedor.</w:t>
      </w:r>
    </w:p>
    <w:p w14:paraId="536D4C16"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 xml:space="preserve">As documentações necessárias para demonstrar a capacidade do licitante de realizar o objeto da licitação, serão exigidos para fins de habilitação, nos termos </w:t>
      </w:r>
      <w:proofErr w:type="spellStart"/>
      <w:r w:rsidRPr="008E40CE">
        <w:rPr>
          <w:rFonts w:ascii="Arial Narrow" w:hAnsi="Arial Narrow"/>
          <w:sz w:val="24"/>
          <w:szCs w:val="24"/>
        </w:rPr>
        <w:t>arts</w:t>
      </w:r>
      <w:proofErr w:type="spellEnd"/>
      <w:r w:rsidRPr="008E40CE">
        <w:rPr>
          <w:rFonts w:ascii="Arial Narrow" w:hAnsi="Arial Narrow"/>
          <w:sz w:val="24"/>
          <w:szCs w:val="24"/>
        </w:rPr>
        <w:t>. 62 a 70 da Lei n° 14.133, de 2021.</w:t>
      </w:r>
    </w:p>
    <w:p w14:paraId="230CDC95" w14:textId="0E0E0CD1" w:rsidR="008E40CE" w:rsidRPr="005B5A0E" w:rsidRDefault="008E40CE" w:rsidP="008E40CE">
      <w:pPr>
        <w:pStyle w:val="SemEspaamento"/>
        <w:ind w:right="-568"/>
        <w:jc w:val="both"/>
        <w:rPr>
          <w:rFonts w:ascii="Arial Narrow" w:hAnsi="Arial Narrow"/>
          <w:sz w:val="24"/>
          <w:szCs w:val="24"/>
        </w:rPr>
      </w:pPr>
      <w:r w:rsidRPr="005B5A0E">
        <w:rPr>
          <w:rFonts w:ascii="Arial Narrow" w:hAnsi="Arial Narrow"/>
          <w:sz w:val="24"/>
          <w:szCs w:val="24"/>
        </w:rPr>
        <w:t>Os documentos exigidos para habilitação que não estejam contemplados no SICAF serão enviados por meio do sistema, em formato digital, no prazo de 0</w:t>
      </w:r>
      <w:r w:rsidR="005B5A0E" w:rsidRPr="005B5A0E">
        <w:rPr>
          <w:rFonts w:ascii="Arial Narrow" w:hAnsi="Arial Narrow"/>
          <w:sz w:val="24"/>
          <w:szCs w:val="24"/>
        </w:rPr>
        <w:t>1</w:t>
      </w:r>
      <w:r w:rsidRPr="005B5A0E">
        <w:rPr>
          <w:rFonts w:ascii="Arial Narrow" w:hAnsi="Arial Narrow"/>
          <w:sz w:val="24"/>
          <w:szCs w:val="24"/>
        </w:rPr>
        <w:t xml:space="preserve"> (</w:t>
      </w:r>
      <w:r w:rsidR="005B5A0E" w:rsidRPr="005B5A0E">
        <w:rPr>
          <w:rFonts w:ascii="Arial Narrow" w:hAnsi="Arial Narrow"/>
          <w:sz w:val="24"/>
          <w:szCs w:val="24"/>
        </w:rPr>
        <w:t>uma</w:t>
      </w:r>
      <w:r w:rsidRPr="005B5A0E">
        <w:rPr>
          <w:rFonts w:ascii="Arial Narrow" w:hAnsi="Arial Narrow"/>
          <w:sz w:val="24"/>
          <w:szCs w:val="24"/>
        </w:rPr>
        <w:t>) horas, prorrogável por igual período, contado da solicitação do Pregoeiro.</w:t>
      </w:r>
    </w:p>
    <w:p w14:paraId="3F770BE2" w14:textId="77777777" w:rsidR="008E40CE" w:rsidRPr="005B5A0E" w:rsidRDefault="008E40CE" w:rsidP="008E40CE">
      <w:pPr>
        <w:pStyle w:val="SemEspaamento"/>
        <w:ind w:right="-568"/>
        <w:jc w:val="both"/>
        <w:rPr>
          <w:rFonts w:ascii="Arial Narrow" w:hAnsi="Arial Narrow"/>
          <w:sz w:val="24"/>
          <w:szCs w:val="24"/>
        </w:rPr>
      </w:pPr>
    </w:p>
    <w:p w14:paraId="62012D97" w14:textId="338914C2" w:rsidR="005B5A0E" w:rsidRPr="005B5A0E" w:rsidRDefault="005B5A0E" w:rsidP="008E40CE">
      <w:pPr>
        <w:pStyle w:val="SemEspaamento"/>
        <w:ind w:right="-568"/>
        <w:jc w:val="both"/>
        <w:rPr>
          <w:rFonts w:ascii="Arial Narrow" w:hAnsi="Arial Narrow" w:cs="Arial"/>
          <w:sz w:val="24"/>
          <w:szCs w:val="24"/>
        </w:rPr>
      </w:pPr>
      <w:r w:rsidRPr="005B5A0E">
        <w:rPr>
          <w:rFonts w:ascii="Arial Narrow" w:hAnsi="Arial Narrow" w:cs="Arial"/>
          <w:sz w:val="24"/>
          <w:szCs w:val="24"/>
        </w:rPr>
        <w:t>Conforme Disposto no Terno de Referência, Item 13 – Habilitação, A documentação poderá ser da MATRIZ ou da FILIAL, obedecendo às seguintes regras:</w:t>
      </w:r>
    </w:p>
    <w:p w14:paraId="7E46F6CF" w14:textId="67DB3704" w:rsidR="005B5A0E" w:rsidRPr="005B5A0E" w:rsidRDefault="005B5A0E" w:rsidP="00D83040">
      <w:pPr>
        <w:rPr>
          <w:rFonts w:ascii="Arial Narrow" w:hAnsi="Arial Narrow" w:cs="Arial"/>
          <w:sz w:val="24"/>
          <w:szCs w:val="24"/>
        </w:rPr>
      </w:pPr>
      <w:r w:rsidRPr="005B5A0E">
        <w:rPr>
          <w:rFonts w:ascii="Arial Narrow" w:hAnsi="Arial Narrow" w:cs="Arial"/>
          <w:sz w:val="24"/>
          <w:szCs w:val="24"/>
        </w:rPr>
        <w:t>a)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136CC44" w14:textId="733B3EBB" w:rsidR="005B5A0E" w:rsidRPr="005B5A0E" w:rsidRDefault="005B5A0E" w:rsidP="005B5A0E">
      <w:pPr>
        <w:pStyle w:val="SemEspaamento"/>
        <w:ind w:right="-568"/>
        <w:jc w:val="both"/>
        <w:rPr>
          <w:rFonts w:ascii="Arial Narrow" w:hAnsi="Arial Narrow" w:cs="Arial"/>
          <w:sz w:val="24"/>
          <w:szCs w:val="24"/>
        </w:rPr>
      </w:pPr>
      <w:r w:rsidRPr="005B5A0E">
        <w:rPr>
          <w:rFonts w:ascii="Arial Narrow" w:hAnsi="Arial Narrow" w:cs="Arial"/>
          <w:bCs/>
          <w:sz w:val="24"/>
          <w:szCs w:val="24"/>
        </w:rPr>
        <w:t>b)</w:t>
      </w:r>
      <w:r w:rsidRPr="005B5A0E">
        <w:rPr>
          <w:rFonts w:ascii="Arial Narrow" w:hAnsi="Arial Narrow" w:cs="Arial"/>
          <w:b/>
          <w:sz w:val="24"/>
          <w:szCs w:val="24"/>
        </w:rPr>
        <w:t xml:space="preserve"> </w:t>
      </w:r>
      <w:r w:rsidRPr="005B5A0E">
        <w:rPr>
          <w:rFonts w:ascii="Arial Narrow" w:hAnsi="Arial Narrow" w:cs="Arial"/>
          <w:sz w:val="24"/>
          <w:szCs w:val="24"/>
        </w:rPr>
        <w:t>Os documentos de Habilitação Técnica, quando solicitado, serão aceitos emitidos em nome da matriz ou da filial, salvo disposição do edital em contrário</w:t>
      </w:r>
    </w:p>
    <w:p w14:paraId="057A3229" w14:textId="77777777" w:rsidR="005B5A0E" w:rsidRDefault="005B5A0E" w:rsidP="008E40CE">
      <w:pPr>
        <w:pStyle w:val="SemEspaamento"/>
        <w:ind w:right="-568"/>
        <w:jc w:val="both"/>
        <w:rPr>
          <w:rFonts w:ascii="Arial Narrow" w:hAnsi="Arial Narrow"/>
          <w:sz w:val="24"/>
          <w:szCs w:val="24"/>
        </w:rPr>
      </w:pPr>
    </w:p>
    <w:p w14:paraId="550FA914" w14:textId="77777777" w:rsidR="008E40CE" w:rsidRPr="008E40CE" w:rsidRDefault="008E40CE" w:rsidP="008E40CE">
      <w:pPr>
        <w:pStyle w:val="SemEspaamento"/>
        <w:pBdr>
          <w:bottom w:val="single" w:sz="4" w:space="1" w:color="auto"/>
        </w:pBdr>
        <w:ind w:right="-568"/>
        <w:jc w:val="both"/>
        <w:rPr>
          <w:rFonts w:ascii="Arial Narrow" w:hAnsi="Arial Narrow"/>
          <w:b/>
          <w:sz w:val="24"/>
          <w:szCs w:val="24"/>
        </w:rPr>
      </w:pPr>
      <w:r w:rsidRPr="008E40CE">
        <w:rPr>
          <w:rFonts w:ascii="Arial Narrow" w:hAnsi="Arial Narrow"/>
          <w:b/>
          <w:sz w:val="24"/>
          <w:szCs w:val="24"/>
        </w:rPr>
        <w:t>1. PARA COMPROVAÇÃO DA HABILITAÇÃO JURÍDICA</w:t>
      </w:r>
    </w:p>
    <w:p w14:paraId="54D64526"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1.1. Empresário individual: inscrição no Registro Público de Empresas Mercantis, a cargo da Junta Comercial da respectiva sede;</w:t>
      </w:r>
    </w:p>
    <w:p w14:paraId="3B279753"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1.2. Microempreendedor Individual - MEI: Certificado da Condição de Microempreendedor Individual - CCMEI, cuja aceitação ficará condicionada à verificação da autenticidade no sítio https://www.gov.br/empresas-e-negocios/pt-br/empreendedor;</w:t>
      </w:r>
    </w:p>
    <w:p w14:paraId="78E520CB"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1.3.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927FD31"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1.4.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w:t>
      </w:r>
    </w:p>
    <w:p w14:paraId="5E28F493"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1.5. Sociedade simples: inscrição do ato constitutivo no Registro Civil de Pessoas Jurídicas do local de sua sede, acompanhada de documento comprobatório de seus administradores;</w:t>
      </w:r>
    </w:p>
    <w:p w14:paraId="643B98F2"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1.6.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D676B2E"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1.7. Sociedade cooperativa: ata de fundação e estatuto social, com a ata da assembleia que o aprovou, devidamente arquivado na Junta Comercial ou inscrito no Registro Civil das Pessoas Jurídicas da respectiva sede, além do registro de que trata o art. 107 da Lei n° 5.764, de 16 de dezembro 1971;</w:t>
      </w:r>
    </w:p>
    <w:p w14:paraId="6387B9CC"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 xml:space="preserve">1.8. Agricultor familiar: Declaração de Aptidão ao Pronaf - DAP ou DAP-P válida, ou, ainda, outros documentos definidos pela Secretaria Especial de Agricultura Familiar e do Desenvolvimento Agrário, nos termos do art. 4°, §2° do Decreto n° 10.880, de 2 de dezembro de 2021; </w:t>
      </w:r>
    </w:p>
    <w:p w14:paraId="68EFAB23"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lastRenderedPageBreak/>
        <w:t>1.9. Produtor Rural: matrícula no Cadastro Específico do INSS - CEI, que comprove a qualificação como produtor rural pessoa física, nos termos da Instrução Normativa RFB n. 971, de 13 de novembro de 2009 (</w:t>
      </w:r>
      <w:proofErr w:type="spellStart"/>
      <w:r w:rsidRPr="008E40CE">
        <w:rPr>
          <w:rFonts w:ascii="Arial Narrow" w:hAnsi="Arial Narrow"/>
          <w:sz w:val="24"/>
          <w:szCs w:val="24"/>
        </w:rPr>
        <w:t>arts</w:t>
      </w:r>
      <w:proofErr w:type="spellEnd"/>
      <w:r w:rsidRPr="008E40CE">
        <w:rPr>
          <w:rFonts w:ascii="Arial Narrow" w:hAnsi="Arial Narrow"/>
          <w:sz w:val="24"/>
          <w:szCs w:val="24"/>
        </w:rPr>
        <w:t>. 17 a 19 e 165);</w:t>
      </w:r>
    </w:p>
    <w:p w14:paraId="4D854A5C"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Obs.: Os documentos apresentados deverão estar acompanhados de todas as alterações ou da consolidação respectiva.</w:t>
      </w:r>
    </w:p>
    <w:p w14:paraId="2D173BE2" w14:textId="77777777" w:rsidR="008E40CE" w:rsidRDefault="008E40CE" w:rsidP="008E40CE">
      <w:pPr>
        <w:pStyle w:val="SemEspaamento"/>
        <w:pBdr>
          <w:bottom w:val="single" w:sz="4" w:space="1" w:color="auto"/>
        </w:pBdr>
        <w:ind w:right="-568"/>
        <w:jc w:val="both"/>
        <w:rPr>
          <w:rFonts w:ascii="Arial Narrow" w:hAnsi="Arial Narrow"/>
          <w:b/>
          <w:sz w:val="24"/>
          <w:szCs w:val="24"/>
        </w:rPr>
      </w:pPr>
    </w:p>
    <w:p w14:paraId="6F6119C0" w14:textId="77777777" w:rsidR="008E40CE" w:rsidRPr="008E40CE" w:rsidRDefault="008E40CE" w:rsidP="008E40CE">
      <w:pPr>
        <w:pStyle w:val="SemEspaamento"/>
        <w:pBdr>
          <w:bottom w:val="single" w:sz="4" w:space="1" w:color="auto"/>
        </w:pBdr>
        <w:ind w:right="-568"/>
        <w:jc w:val="both"/>
        <w:rPr>
          <w:rFonts w:ascii="Arial Narrow" w:hAnsi="Arial Narrow"/>
          <w:b/>
          <w:sz w:val="24"/>
          <w:szCs w:val="24"/>
        </w:rPr>
      </w:pPr>
      <w:r w:rsidRPr="008E40CE">
        <w:rPr>
          <w:rFonts w:ascii="Arial Narrow" w:hAnsi="Arial Narrow"/>
          <w:b/>
          <w:sz w:val="24"/>
          <w:szCs w:val="24"/>
        </w:rPr>
        <w:t>2. PARA COMPROVAÇÃO DA REGULARIDADE FISCAL E TRABALHISTA</w:t>
      </w:r>
    </w:p>
    <w:p w14:paraId="7B25D3FB"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2.1. Prova de inscrição no Cadastro Nacional de Pessoas Jurídicas;</w:t>
      </w:r>
    </w:p>
    <w:p w14:paraId="7542407D"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2.2. Prova de inscrição no cadastro de contribuintes Estadual ou Municipal relativo ao domicílio ou sede do fornecedor, pertinente ao seu ramo de atividade e compatível com o objeto contratual;</w:t>
      </w:r>
    </w:p>
    <w:p w14:paraId="09B0E271"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2.3.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 1.751, de 02 de outubro de 2014, do Secretário da Receita Federal do Brasil e da Procuradora-Geral da Fazenda Nacional.</w:t>
      </w:r>
    </w:p>
    <w:p w14:paraId="61EBB33C"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2.4. Prova de regularidade com a Fazenda Estadual do domicílio ou sede do fornecedor, relativa à atividade em cujo exercício contrata ou concorre;</w:t>
      </w:r>
    </w:p>
    <w:p w14:paraId="2A47E8C1"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2.5. Prova de regularidade com a Fazenda Municipal do domicílio ou sede do fornecedor, relativa à atividade em cujo exercício contrata ou concorre;</w:t>
      </w:r>
    </w:p>
    <w:p w14:paraId="23B8F36E"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2.5.1. Caso o fornecedor seja considerado isento dos tributos Estadual ou Municipal relacionados ao objeto contratual, deverá comprovar tal condição mediante a apresentação de declaração da Fazenda respectiva do seu domicílio ou sede, ou outra equivalente, na forma da lei.</w:t>
      </w:r>
    </w:p>
    <w:p w14:paraId="095F8919"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2.5.2.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311B3829"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2.6. Prova de regularidade com o Fundo de Garantia do Tempo de Serviço (FGTS);</w:t>
      </w:r>
    </w:p>
    <w:p w14:paraId="7C463995"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2.7. Prova de inexistência de débitos inadimplidos perante a Justiça do Trabalho, mediante a apresentação de certidão negativa ou positiva com efeito de negativa, nos termos do Título VII- A da Consolidação das Leis do Trabalho, aprovada pelo Decreto-Lei n° 5.452, de 1° de maio de 1943;</w:t>
      </w:r>
    </w:p>
    <w:p w14:paraId="2D1C0E47" w14:textId="77777777" w:rsidR="00301340" w:rsidRDefault="00301340" w:rsidP="008E40CE">
      <w:pPr>
        <w:pStyle w:val="SemEspaamento"/>
        <w:ind w:right="-568"/>
        <w:jc w:val="both"/>
        <w:rPr>
          <w:rFonts w:ascii="Arial Narrow" w:hAnsi="Arial Narrow"/>
          <w:sz w:val="24"/>
          <w:szCs w:val="24"/>
        </w:rPr>
      </w:pPr>
    </w:p>
    <w:p w14:paraId="285C8B18" w14:textId="77777777" w:rsidR="008E40CE" w:rsidRPr="007F4E3B" w:rsidRDefault="00301340" w:rsidP="00301340">
      <w:pPr>
        <w:pStyle w:val="SemEspaamento"/>
        <w:pBdr>
          <w:bottom w:val="single" w:sz="4" w:space="1" w:color="auto"/>
        </w:pBdr>
        <w:ind w:right="-568"/>
        <w:jc w:val="both"/>
        <w:rPr>
          <w:rFonts w:ascii="Arial Narrow" w:hAnsi="Arial Narrow"/>
          <w:b/>
          <w:sz w:val="24"/>
          <w:szCs w:val="24"/>
        </w:rPr>
      </w:pPr>
      <w:r w:rsidRPr="007F4E3B">
        <w:rPr>
          <w:rFonts w:ascii="Arial Narrow" w:hAnsi="Arial Narrow"/>
          <w:b/>
          <w:sz w:val="24"/>
          <w:szCs w:val="24"/>
        </w:rPr>
        <w:t>3. PARA COMPROVAÇÃO DA QUALIFICAÇÃO ECONÔMICO-FINANCEIRA</w:t>
      </w:r>
    </w:p>
    <w:p w14:paraId="0150CE45" w14:textId="1E619370" w:rsidR="008E40CE" w:rsidRPr="007F4E3B" w:rsidRDefault="008E40CE" w:rsidP="008E40CE">
      <w:pPr>
        <w:pStyle w:val="SemEspaamento"/>
        <w:ind w:right="-568"/>
        <w:jc w:val="both"/>
        <w:rPr>
          <w:rFonts w:ascii="Arial Narrow" w:hAnsi="Arial Narrow"/>
          <w:sz w:val="24"/>
          <w:szCs w:val="24"/>
        </w:rPr>
      </w:pPr>
      <w:r w:rsidRPr="007F4E3B">
        <w:rPr>
          <w:rFonts w:ascii="Arial Narrow" w:hAnsi="Arial Narrow"/>
          <w:sz w:val="24"/>
          <w:szCs w:val="24"/>
        </w:rPr>
        <w:t xml:space="preserve">3.1. Certidão negativa de falência </w:t>
      </w:r>
      <w:r w:rsidR="007F4E3B" w:rsidRPr="007F4E3B">
        <w:rPr>
          <w:rFonts w:ascii="Arial Narrow" w:hAnsi="Arial Narrow"/>
          <w:sz w:val="24"/>
          <w:szCs w:val="24"/>
        </w:rPr>
        <w:t xml:space="preserve">e recuperação judicial ou extrajudicial </w:t>
      </w:r>
      <w:r w:rsidRPr="007F4E3B">
        <w:rPr>
          <w:rFonts w:ascii="Arial Narrow" w:hAnsi="Arial Narrow"/>
          <w:sz w:val="24"/>
          <w:szCs w:val="24"/>
        </w:rPr>
        <w:t>expedida pelo distribuidor da sede do fornecedor - Lei n° 14.133, de 2021, art. 69, caput, inciso II); (Caso não conste na Certidão o prazo de validade da mesma, será considerado o prazo de 90 (noventa) dias contados da data da sua emissão).</w:t>
      </w:r>
    </w:p>
    <w:p w14:paraId="670F6B85" w14:textId="33E81B16" w:rsidR="007F4E3B" w:rsidRPr="007F4E3B" w:rsidRDefault="007F4E3B" w:rsidP="008E40CE">
      <w:pPr>
        <w:pStyle w:val="SemEspaamento"/>
        <w:ind w:right="-568"/>
        <w:jc w:val="both"/>
        <w:rPr>
          <w:rFonts w:ascii="Arial Narrow" w:hAnsi="Arial Narrow" w:cs="Arial"/>
          <w:sz w:val="24"/>
          <w:szCs w:val="24"/>
        </w:rPr>
      </w:pPr>
      <w:r w:rsidRPr="007F4E3B">
        <w:rPr>
          <w:rFonts w:ascii="Arial Narrow" w:hAnsi="Arial Narrow"/>
          <w:sz w:val="24"/>
          <w:szCs w:val="24"/>
        </w:rPr>
        <w:t xml:space="preserve">3.2. </w:t>
      </w:r>
      <w:r w:rsidRPr="007F4E3B">
        <w:rPr>
          <w:rFonts w:ascii="Arial Narrow" w:hAnsi="Arial Narrow" w:cs="Arial"/>
          <w:sz w:val="24"/>
          <w:szCs w:val="24"/>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3783D326" w14:textId="0FB6C558" w:rsidR="007F4E3B" w:rsidRPr="007F4E3B" w:rsidRDefault="007F4E3B" w:rsidP="008E40CE">
      <w:pPr>
        <w:pStyle w:val="SemEspaamento"/>
        <w:ind w:right="-568"/>
        <w:jc w:val="both"/>
        <w:rPr>
          <w:rFonts w:ascii="Arial Narrow" w:hAnsi="Arial Narrow" w:cs="Arial"/>
          <w:sz w:val="24"/>
          <w:szCs w:val="24"/>
        </w:rPr>
      </w:pPr>
      <w:r w:rsidRPr="007F4E3B">
        <w:rPr>
          <w:rFonts w:ascii="Arial Narrow" w:hAnsi="Arial Narrow" w:cs="Arial"/>
          <w:sz w:val="24"/>
          <w:szCs w:val="24"/>
        </w:rPr>
        <w:t>3.3. No caso de empresa constituída no exercício social vigente, admite-se a apresentação de balanço patrimonial e demonstrações contábeis referentes ao período de existência da sociedade.</w:t>
      </w:r>
    </w:p>
    <w:p w14:paraId="0A37C177" w14:textId="6AF6C8E8" w:rsidR="007F4E3B" w:rsidRPr="007F4E3B" w:rsidRDefault="007F4E3B" w:rsidP="008E40CE">
      <w:pPr>
        <w:pStyle w:val="SemEspaamento"/>
        <w:ind w:right="-568"/>
        <w:jc w:val="both"/>
        <w:rPr>
          <w:rFonts w:ascii="Arial Narrow" w:hAnsi="Arial Narrow" w:cs="Arial"/>
          <w:sz w:val="24"/>
          <w:szCs w:val="24"/>
        </w:rPr>
      </w:pPr>
      <w:r w:rsidRPr="007F4E3B">
        <w:rPr>
          <w:rFonts w:ascii="Arial Narrow" w:hAnsi="Arial Narrow" w:cs="Arial"/>
          <w:sz w:val="24"/>
          <w:szCs w:val="24"/>
        </w:rPr>
        <w:t>3.4. A licitante deverá apresentar os seguintes índices contábeis, extraídos do último balanço patrimonial ou do balanço patrimonial referente ao período de existência da sociedade, atestando a boa situação financeira:</w:t>
      </w:r>
    </w:p>
    <w:p w14:paraId="3E8AEE7A" w14:textId="77777777" w:rsidR="007F4E3B" w:rsidRPr="007F4E3B" w:rsidRDefault="007F4E3B" w:rsidP="008E40CE">
      <w:pPr>
        <w:pStyle w:val="SemEspaamento"/>
        <w:ind w:right="-568"/>
        <w:jc w:val="both"/>
        <w:rPr>
          <w:rFonts w:ascii="Arial Narrow" w:hAnsi="Arial Narrow"/>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EEE"/>
        <w:tblCellMar>
          <w:left w:w="0" w:type="dxa"/>
          <w:right w:w="0" w:type="dxa"/>
        </w:tblCellMar>
        <w:tblLook w:val="04A0" w:firstRow="1" w:lastRow="0" w:firstColumn="1" w:lastColumn="0" w:noHBand="0" w:noVBand="1"/>
      </w:tblPr>
      <w:tblGrid>
        <w:gridCol w:w="829"/>
        <w:gridCol w:w="4102"/>
      </w:tblGrid>
      <w:tr w:rsidR="007F4E3B" w:rsidRPr="007F4E3B" w14:paraId="6E856623" w14:textId="77777777" w:rsidTr="007F4E3B">
        <w:trPr>
          <w:trHeight w:val="389"/>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EEEEEE"/>
            <w:tcMar>
              <w:top w:w="45" w:type="dxa"/>
              <w:left w:w="30" w:type="dxa"/>
              <w:bottom w:w="45" w:type="dxa"/>
              <w:right w:w="30" w:type="dxa"/>
            </w:tcMar>
            <w:vAlign w:val="center"/>
            <w:hideMark/>
          </w:tcPr>
          <w:p w14:paraId="4374C24B" w14:textId="77777777" w:rsidR="007F4E3B" w:rsidRPr="007F4E3B" w:rsidRDefault="007F4E3B" w:rsidP="007F4E3B">
            <w:pPr>
              <w:ind w:left="200"/>
              <w:jc w:val="both"/>
              <w:rPr>
                <w:rFonts w:ascii="Arial Narrow" w:hAnsi="Arial Narrow" w:cs="Arial"/>
                <w:b/>
                <w:bCs/>
                <w:sz w:val="24"/>
                <w:szCs w:val="24"/>
              </w:rPr>
            </w:pPr>
            <w:r w:rsidRPr="007F4E3B">
              <w:rPr>
                <w:rFonts w:ascii="Arial Narrow" w:hAnsi="Arial Narrow" w:cs="Arial"/>
                <w:b/>
                <w:bCs/>
                <w:sz w:val="24"/>
                <w:szCs w:val="24"/>
              </w:rPr>
              <w:t>Índice</w:t>
            </w:r>
          </w:p>
        </w:tc>
        <w:tc>
          <w:tcPr>
            <w:tcW w:w="0" w:type="auto"/>
            <w:tcBorders>
              <w:top w:val="single" w:sz="4" w:space="0" w:color="auto"/>
              <w:left w:val="single" w:sz="4" w:space="0" w:color="auto"/>
              <w:bottom w:val="single" w:sz="4" w:space="0" w:color="auto"/>
              <w:right w:val="single" w:sz="4" w:space="0" w:color="auto"/>
            </w:tcBorders>
            <w:shd w:val="clear" w:color="auto" w:fill="EEEEEE"/>
            <w:tcMar>
              <w:top w:w="45" w:type="dxa"/>
              <w:left w:w="30" w:type="dxa"/>
              <w:bottom w:w="45" w:type="dxa"/>
              <w:right w:w="30" w:type="dxa"/>
            </w:tcMar>
            <w:vAlign w:val="center"/>
            <w:hideMark/>
          </w:tcPr>
          <w:p w14:paraId="714E93B4" w14:textId="77777777" w:rsidR="007F4E3B" w:rsidRPr="007F4E3B" w:rsidRDefault="007F4E3B" w:rsidP="00CB41A6">
            <w:pPr>
              <w:ind w:left="142"/>
              <w:jc w:val="both"/>
              <w:rPr>
                <w:rFonts w:ascii="Arial Narrow" w:hAnsi="Arial Narrow" w:cs="Arial"/>
                <w:b/>
                <w:bCs/>
                <w:sz w:val="24"/>
                <w:szCs w:val="24"/>
              </w:rPr>
            </w:pPr>
            <w:r w:rsidRPr="007F4E3B">
              <w:rPr>
                <w:rFonts w:ascii="Arial Narrow" w:hAnsi="Arial Narrow" w:cs="Arial"/>
                <w:b/>
                <w:bCs/>
                <w:sz w:val="24"/>
                <w:szCs w:val="24"/>
              </w:rPr>
              <w:t>Fórmula</w:t>
            </w:r>
          </w:p>
        </w:tc>
      </w:tr>
      <w:tr w:rsidR="007F4E3B" w:rsidRPr="007F4E3B" w14:paraId="51DF5756" w14:textId="77777777" w:rsidTr="007F4E3B">
        <w:trPr>
          <w:trHeight w:val="624"/>
          <w:jc w:val="center"/>
        </w:trPr>
        <w:tc>
          <w:tcPr>
            <w:tcW w:w="0" w:type="auto"/>
            <w:tcBorders>
              <w:top w:val="single" w:sz="4" w:space="0" w:color="auto"/>
              <w:left w:val="single" w:sz="4" w:space="0" w:color="auto"/>
              <w:bottom w:val="single" w:sz="4" w:space="0" w:color="auto"/>
              <w:right w:val="single" w:sz="4" w:space="0" w:color="auto"/>
            </w:tcBorders>
            <w:shd w:val="clear" w:color="auto" w:fill="EEEEEE"/>
            <w:tcMar>
              <w:top w:w="45" w:type="dxa"/>
              <w:left w:w="30" w:type="dxa"/>
              <w:bottom w:w="45" w:type="dxa"/>
              <w:right w:w="30" w:type="dxa"/>
            </w:tcMar>
            <w:vAlign w:val="center"/>
            <w:hideMark/>
          </w:tcPr>
          <w:p w14:paraId="0EAC2F66" w14:textId="77777777" w:rsidR="007F4E3B" w:rsidRPr="007F4E3B" w:rsidRDefault="007F4E3B" w:rsidP="00CB41A6">
            <w:pPr>
              <w:ind w:left="142"/>
              <w:jc w:val="both"/>
              <w:rPr>
                <w:rFonts w:ascii="Arial Narrow" w:hAnsi="Arial Narrow" w:cs="Arial"/>
                <w:sz w:val="24"/>
                <w:szCs w:val="24"/>
              </w:rPr>
            </w:pPr>
            <w:r w:rsidRPr="007F4E3B">
              <w:rPr>
                <w:rFonts w:ascii="Arial Narrow" w:hAnsi="Arial Narrow" w:cs="Arial"/>
                <w:b/>
                <w:bCs/>
                <w:sz w:val="24"/>
                <w:szCs w:val="24"/>
              </w:rPr>
              <w:t>LG =</w:t>
            </w:r>
          </w:p>
        </w:tc>
        <w:tc>
          <w:tcPr>
            <w:tcW w:w="0" w:type="auto"/>
            <w:tcBorders>
              <w:top w:val="single" w:sz="4" w:space="0" w:color="auto"/>
              <w:left w:val="single" w:sz="4" w:space="0" w:color="auto"/>
              <w:bottom w:val="single" w:sz="4" w:space="0" w:color="auto"/>
              <w:right w:val="single" w:sz="4" w:space="0" w:color="auto"/>
            </w:tcBorders>
            <w:shd w:val="clear" w:color="auto" w:fill="EEEEEE"/>
            <w:tcMar>
              <w:top w:w="45" w:type="dxa"/>
              <w:left w:w="30" w:type="dxa"/>
              <w:bottom w:w="45" w:type="dxa"/>
              <w:right w:w="30" w:type="dxa"/>
            </w:tcMar>
            <w:vAlign w:val="center"/>
            <w:hideMark/>
          </w:tcPr>
          <w:p w14:paraId="7EA31812" w14:textId="77777777" w:rsidR="007F4E3B" w:rsidRPr="007F4E3B" w:rsidRDefault="007F4E3B" w:rsidP="00CB41A6">
            <w:pPr>
              <w:ind w:left="142"/>
              <w:jc w:val="both"/>
              <w:rPr>
                <w:rFonts w:ascii="Arial Narrow" w:hAnsi="Arial Narrow" w:cs="Arial"/>
                <w:sz w:val="24"/>
                <w:szCs w:val="24"/>
              </w:rPr>
            </w:pPr>
            <w:r w:rsidRPr="007F4E3B">
              <w:rPr>
                <w:rFonts w:ascii="Arial Narrow" w:hAnsi="Arial Narrow" w:cs="Arial"/>
                <w:sz w:val="24"/>
                <w:szCs w:val="24"/>
                <w:u w:val="single"/>
              </w:rPr>
              <w:t>Ativo Circulante + Ativo Não Circulante</w:t>
            </w:r>
            <w:r w:rsidRPr="007F4E3B">
              <w:rPr>
                <w:rFonts w:ascii="Arial Narrow" w:hAnsi="Arial Narrow" w:cs="Arial"/>
                <w:sz w:val="24"/>
                <w:szCs w:val="24"/>
              </w:rPr>
              <w:br/>
              <w:t>Passivo Circulante + Passivo Não Circulante</w:t>
            </w:r>
          </w:p>
        </w:tc>
      </w:tr>
      <w:tr w:rsidR="007F4E3B" w:rsidRPr="007F4E3B" w14:paraId="07539CCD" w14:textId="77777777" w:rsidTr="007F4E3B">
        <w:trPr>
          <w:trHeight w:val="539"/>
          <w:jc w:val="center"/>
        </w:trPr>
        <w:tc>
          <w:tcPr>
            <w:tcW w:w="0" w:type="auto"/>
            <w:tcBorders>
              <w:top w:val="single" w:sz="4" w:space="0" w:color="auto"/>
              <w:left w:val="single" w:sz="4" w:space="0" w:color="auto"/>
              <w:bottom w:val="single" w:sz="4" w:space="0" w:color="auto"/>
              <w:right w:val="single" w:sz="4" w:space="0" w:color="auto"/>
            </w:tcBorders>
            <w:shd w:val="clear" w:color="auto" w:fill="D0E4F5"/>
            <w:tcMar>
              <w:top w:w="45" w:type="dxa"/>
              <w:left w:w="30" w:type="dxa"/>
              <w:bottom w:w="45" w:type="dxa"/>
              <w:right w:w="30" w:type="dxa"/>
            </w:tcMar>
            <w:vAlign w:val="center"/>
            <w:hideMark/>
          </w:tcPr>
          <w:p w14:paraId="00264E32" w14:textId="77777777" w:rsidR="007F4E3B" w:rsidRPr="007F4E3B" w:rsidRDefault="007F4E3B" w:rsidP="00CB41A6">
            <w:pPr>
              <w:ind w:left="142"/>
              <w:jc w:val="both"/>
              <w:rPr>
                <w:rFonts w:ascii="Arial Narrow" w:hAnsi="Arial Narrow" w:cs="Arial"/>
                <w:sz w:val="24"/>
                <w:szCs w:val="24"/>
              </w:rPr>
            </w:pPr>
            <w:r w:rsidRPr="007F4E3B">
              <w:rPr>
                <w:rFonts w:ascii="Arial Narrow" w:hAnsi="Arial Narrow" w:cs="Arial"/>
                <w:b/>
                <w:bCs/>
                <w:sz w:val="24"/>
                <w:szCs w:val="24"/>
              </w:rPr>
              <w:t>SG =</w:t>
            </w:r>
          </w:p>
        </w:tc>
        <w:tc>
          <w:tcPr>
            <w:tcW w:w="0" w:type="auto"/>
            <w:tcBorders>
              <w:top w:val="single" w:sz="4" w:space="0" w:color="auto"/>
              <w:left w:val="single" w:sz="4" w:space="0" w:color="auto"/>
              <w:bottom w:val="single" w:sz="4" w:space="0" w:color="auto"/>
              <w:right w:val="single" w:sz="4" w:space="0" w:color="auto"/>
            </w:tcBorders>
            <w:shd w:val="clear" w:color="auto" w:fill="D0E4F5"/>
            <w:tcMar>
              <w:top w:w="45" w:type="dxa"/>
              <w:left w:w="30" w:type="dxa"/>
              <w:bottom w:w="45" w:type="dxa"/>
              <w:right w:w="30" w:type="dxa"/>
            </w:tcMar>
            <w:vAlign w:val="center"/>
            <w:hideMark/>
          </w:tcPr>
          <w:p w14:paraId="5892805F" w14:textId="77777777" w:rsidR="007F4E3B" w:rsidRPr="007F4E3B" w:rsidRDefault="007F4E3B" w:rsidP="00CB41A6">
            <w:pPr>
              <w:ind w:left="142"/>
              <w:jc w:val="both"/>
              <w:rPr>
                <w:rFonts w:ascii="Arial Narrow" w:hAnsi="Arial Narrow" w:cs="Arial"/>
                <w:sz w:val="24"/>
                <w:szCs w:val="24"/>
              </w:rPr>
            </w:pPr>
            <w:r w:rsidRPr="007F4E3B">
              <w:rPr>
                <w:rFonts w:ascii="Arial Narrow" w:hAnsi="Arial Narrow" w:cs="Arial"/>
                <w:sz w:val="24"/>
                <w:szCs w:val="24"/>
                <w:u w:val="single"/>
              </w:rPr>
              <w:t xml:space="preserve">                     Ativo Total                          </w:t>
            </w:r>
            <w:r w:rsidRPr="007F4E3B">
              <w:rPr>
                <w:rFonts w:ascii="Arial Narrow" w:hAnsi="Arial Narrow" w:cs="Arial"/>
                <w:sz w:val="24"/>
                <w:szCs w:val="24"/>
              </w:rPr>
              <w:br/>
              <w:t>Passivo Circulante + Passivo Não Circulante</w:t>
            </w:r>
          </w:p>
        </w:tc>
      </w:tr>
      <w:tr w:rsidR="007F4E3B" w:rsidRPr="007F4E3B" w14:paraId="3CE5D7CE" w14:textId="77777777" w:rsidTr="007F4E3B">
        <w:trPr>
          <w:trHeight w:val="466"/>
          <w:jc w:val="center"/>
        </w:trPr>
        <w:tc>
          <w:tcPr>
            <w:tcW w:w="0" w:type="auto"/>
            <w:tcBorders>
              <w:top w:val="single" w:sz="4" w:space="0" w:color="auto"/>
              <w:left w:val="single" w:sz="4" w:space="0" w:color="auto"/>
              <w:bottom w:val="single" w:sz="4" w:space="0" w:color="auto"/>
              <w:right w:val="single" w:sz="4" w:space="0" w:color="auto"/>
            </w:tcBorders>
            <w:shd w:val="clear" w:color="auto" w:fill="EEEEEE"/>
            <w:tcMar>
              <w:top w:w="45" w:type="dxa"/>
              <w:left w:w="30" w:type="dxa"/>
              <w:bottom w:w="45" w:type="dxa"/>
              <w:right w:w="30" w:type="dxa"/>
            </w:tcMar>
            <w:vAlign w:val="center"/>
            <w:hideMark/>
          </w:tcPr>
          <w:p w14:paraId="2DB30FA2" w14:textId="77777777" w:rsidR="007F4E3B" w:rsidRPr="007F4E3B" w:rsidRDefault="007F4E3B" w:rsidP="00CB41A6">
            <w:pPr>
              <w:ind w:left="142"/>
              <w:jc w:val="both"/>
              <w:rPr>
                <w:rFonts w:ascii="Arial Narrow" w:hAnsi="Arial Narrow" w:cs="Arial"/>
                <w:sz w:val="24"/>
                <w:szCs w:val="24"/>
              </w:rPr>
            </w:pPr>
            <w:r w:rsidRPr="007F4E3B">
              <w:rPr>
                <w:rFonts w:ascii="Arial Narrow" w:hAnsi="Arial Narrow" w:cs="Arial"/>
                <w:b/>
                <w:bCs/>
                <w:sz w:val="24"/>
                <w:szCs w:val="24"/>
              </w:rPr>
              <w:t>LC =</w:t>
            </w:r>
          </w:p>
        </w:tc>
        <w:tc>
          <w:tcPr>
            <w:tcW w:w="0" w:type="auto"/>
            <w:tcBorders>
              <w:top w:val="single" w:sz="4" w:space="0" w:color="auto"/>
              <w:left w:val="single" w:sz="4" w:space="0" w:color="auto"/>
              <w:bottom w:val="single" w:sz="4" w:space="0" w:color="auto"/>
              <w:right w:val="single" w:sz="4" w:space="0" w:color="auto"/>
            </w:tcBorders>
            <w:shd w:val="clear" w:color="auto" w:fill="EEEEEE"/>
            <w:tcMar>
              <w:top w:w="45" w:type="dxa"/>
              <w:left w:w="30" w:type="dxa"/>
              <w:bottom w:w="45" w:type="dxa"/>
              <w:right w:w="30" w:type="dxa"/>
            </w:tcMar>
            <w:vAlign w:val="center"/>
            <w:hideMark/>
          </w:tcPr>
          <w:p w14:paraId="496B854E" w14:textId="77777777" w:rsidR="007F4E3B" w:rsidRPr="007F4E3B" w:rsidRDefault="007F4E3B" w:rsidP="00CB41A6">
            <w:pPr>
              <w:ind w:left="142"/>
              <w:jc w:val="both"/>
              <w:rPr>
                <w:rFonts w:ascii="Arial Narrow" w:hAnsi="Arial Narrow" w:cs="Arial"/>
                <w:sz w:val="24"/>
                <w:szCs w:val="24"/>
              </w:rPr>
            </w:pPr>
            <w:r w:rsidRPr="007F4E3B">
              <w:rPr>
                <w:rFonts w:ascii="Arial Narrow" w:hAnsi="Arial Narrow" w:cs="Arial"/>
                <w:sz w:val="24"/>
                <w:szCs w:val="24"/>
                <w:u w:val="single"/>
              </w:rPr>
              <w:t>Ativo Circulante</w:t>
            </w:r>
            <w:r w:rsidRPr="007F4E3B">
              <w:rPr>
                <w:rFonts w:ascii="Arial Narrow" w:hAnsi="Arial Narrow" w:cs="Arial"/>
                <w:sz w:val="24"/>
                <w:szCs w:val="24"/>
              </w:rPr>
              <w:br/>
              <w:t>Passivo Circulante</w:t>
            </w:r>
          </w:p>
        </w:tc>
      </w:tr>
    </w:tbl>
    <w:p w14:paraId="2F909E3A" w14:textId="77777777" w:rsidR="007F4E3B" w:rsidRPr="007F4E3B" w:rsidRDefault="007F4E3B" w:rsidP="007F4E3B">
      <w:pPr>
        <w:ind w:left="142"/>
        <w:jc w:val="both"/>
        <w:rPr>
          <w:rFonts w:ascii="Arial Narrow" w:hAnsi="Arial Narrow" w:cs="Arial"/>
          <w:b/>
          <w:sz w:val="24"/>
          <w:szCs w:val="24"/>
        </w:rPr>
      </w:pPr>
      <w:r w:rsidRPr="007F4E3B">
        <w:rPr>
          <w:rFonts w:ascii="Arial Narrow" w:hAnsi="Arial Narrow" w:cs="Arial"/>
          <w:b/>
          <w:sz w:val="24"/>
          <w:szCs w:val="24"/>
          <w:lang w:val="x-none"/>
        </w:rPr>
        <w:t>A qualificação econômico-financeira da licitante será aferida com base nos índices de Liquidez Geral (LG), Solvência</w:t>
      </w:r>
      <w:r w:rsidRPr="007F4E3B">
        <w:rPr>
          <w:rFonts w:ascii="Arial Narrow" w:hAnsi="Arial Narrow" w:cs="Arial"/>
          <w:b/>
          <w:sz w:val="24"/>
          <w:szCs w:val="24"/>
        </w:rPr>
        <w:t xml:space="preserve"> </w:t>
      </w:r>
      <w:r w:rsidRPr="007F4E3B">
        <w:rPr>
          <w:rFonts w:ascii="Arial Narrow" w:hAnsi="Arial Narrow" w:cs="Arial"/>
          <w:b/>
          <w:sz w:val="24"/>
          <w:szCs w:val="24"/>
          <w:lang w:val="x-none"/>
        </w:rPr>
        <w:t>Geral (SG) e liquidez Corrente (LC) maiores que um (&gt;1)</w:t>
      </w:r>
      <w:r w:rsidRPr="007F4E3B">
        <w:rPr>
          <w:rFonts w:ascii="Arial Narrow" w:hAnsi="Arial Narrow" w:cs="Arial"/>
          <w:b/>
          <w:sz w:val="24"/>
          <w:szCs w:val="24"/>
        </w:rPr>
        <w:t>;</w:t>
      </w:r>
    </w:p>
    <w:p w14:paraId="1405E989" w14:textId="77777777" w:rsidR="008E40CE" w:rsidRPr="00791C56" w:rsidRDefault="008E40CE" w:rsidP="008E40CE">
      <w:pPr>
        <w:pStyle w:val="SemEspaamento"/>
        <w:ind w:right="-568"/>
        <w:jc w:val="both"/>
        <w:rPr>
          <w:rFonts w:ascii="Arial Narrow" w:hAnsi="Arial Narrow"/>
          <w:sz w:val="24"/>
          <w:szCs w:val="24"/>
        </w:rPr>
      </w:pPr>
    </w:p>
    <w:p w14:paraId="41DCF6A6" w14:textId="77777777" w:rsidR="008E40CE" w:rsidRPr="00791C56" w:rsidRDefault="008E40CE" w:rsidP="008E40CE">
      <w:pPr>
        <w:pStyle w:val="SemEspaamento"/>
        <w:shd w:val="clear" w:color="auto" w:fill="FFFF99"/>
        <w:ind w:right="-568"/>
        <w:jc w:val="both"/>
        <w:rPr>
          <w:rFonts w:ascii="Arial Narrow" w:hAnsi="Arial Narrow"/>
          <w:b/>
          <w:sz w:val="24"/>
          <w:szCs w:val="24"/>
        </w:rPr>
      </w:pPr>
      <w:r w:rsidRPr="00791C56">
        <w:rPr>
          <w:rFonts w:ascii="Arial Narrow" w:hAnsi="Arial Narrow"/>
          <w:b/>
          <w:sz w:val="24"/>
          <w:szCs w:val="24"/>
        </w:rPr>
        <w:t>NOTA IMPORTANTE: A documentação exigida para fins de habilitação jurídica, fiscal, social e trabalhista e econômico financeira, poderá ser substituída pelo registro cadastral no SICAF.</w:t>
      </w:r>
    </w:p>
    <w:p w14:paraId="54EF2764" w14:textId="77777777" w:rsidR="008E40CE" w:rsidRPr="00791C56" w:rsidRDefault="008E40CE" w:rsidP="008E40CE">
      <w:pPr>
        <w:pStyle w:val="SemEspaamento"/>
        <w:ind w:right="-568"/>
        <w:jc w:val="both"/>
        <w:rPr>
          <w:rFonts w:ascii="Arial Narrow" w:hAnsi="Arial Narrow"/>
          <w:sz w:val="24"/>
          <w:szCs w:val="24"/>
        </w:rPr>
      </w:pPr>
    </w:p>
    <w:p w14:paraId="1F1E45B4" w14:textId="42E9941F" w:rsidR="007F4E3B" w:rsidRPr="00791C56" w:rsidRDefault="007F4E3B" w:rsidP="007F4E3B">
      <w:pPr>
        <w:pStyle w:val="SemEspaamento"/>
        <w:pBdr>
          <w:bottom w:val="single" w:sz="4" w:space="1" w:color="auto"/>
        </w:pBdr>
        <w:ind w:right="-568"/>
        <w:jc w:val="both"/>
        <w:rPr>
          <w:rFonts w:ascii="Arial Narrow" w:hAnsi="Arial Narrow"/>
          <w:b/>
          <w:sz w:val="24"/>
          <w:szCs w:val="24"/>
        </w:rPr>
      </w:pPr>
      <w:r w:rsidRPr="00791C56">
        <w:rPr>
          <w:rFonts w:ascii="Arial Narrow" w:hAnsi="Arial Narrow"/>
          <w:b/>
          <w:sz w:val="24"/>
          <w:szCs w:val="24"/>
        </w:rPr>
        <w:t>4. PARA COMPROVAÇÃO DA QUALIFICAÇÃO TÉCNICA</w:t>
      </w:r>
    </w:p>
    <w:p w14:paraId="728A1B9F" w14:textId="44E93D49" w:rsidR="007F4E3B" w:rsidRPr="00791C56" w:rsidRDefault="007F4E3B" w:rsidP="007F4E3B">
      <w:pPr>
        <w:pStyle w:val="SemEspaamento"/>
        <w:pBdr>
          <w:bottom w:val="single" w:sz="4" w:space="1" w:color="auto"/>
        </w:pBdr>
        <w:ind w:right="-568"/>
        <w:jc w:val="both"/>
        <w:rPr>
          <w:rFonts w:ascii="Arial Narrow" w:hAnsi="Arial Narrow" w:cs="Arial"/>
          <w:sz w:val="24"/>
          <w:szCs w:val="24"/>
        </w:rPr>
      </w:pPr>
      <w:r w:rsidRPr="00791C56">
        <w:rPr>
          <w:rFonts w:ascii="Arial Narrow" w:hAnsi="Arial Narrow"/>
          <w:bCs/>
          <w:sz w:val="24"/>
          <w:szCs w:val="24"/>
        </w:rPr>
        <w:t>4.1.</w:t>
      </w:r>
      <w:r w:rsidRPr="00791C56">
        <w:rPr>
          <w:rFonts w:ascii="Arial Narrow" w:hAnsi="Arial Narrow" w:cs="Arial"/>
          <w:sz w:val="24"/>
          <w:szCs w:val="24"/>
        </w:rPr>
        <w:t xml:space="preserve"> Um ou mais atestado(s) e/ou declaração(</w:t>
      </w:r>
      <w:proofErr w:type="spellStart"/>
      <w:r w:rsidRPr="00791C56">
        <w:rPr>
          <w:rFonts w:ascii="Arial Narrow" w:hAnsi="Arial Narrow" w:cs="Arial"/>
          <w:sz w:val="24"/>
          <w:szCs w:val="24"/>
        </w:rPr>
        <w:t>ões</w:t>
      </w:r>
      <w:proofErr w:type="spellEnd"/>
      <w:r w:rsidRPr="00791C56">
        <w:rPr>
          <w:rFonts w:ascii="Arial Narrow" w:hAnsi="Arial Narrow" w:cs="Arial"/>
          <w:sz w:val="24"/>
          <w:szCs w:val="24"/>
        </w:rPr>
        <w:t>) de capacidade técnica, expedido(s) por pessoa(s) jurídica(s) de direito público ou privado, em nome da licitante, que comprove(m) aptidão para desempenho de atividade pertinente e compatível em características, quantidades e prazo com o objeto desta licitação, demonstrando que a licitante gerencia serviços continuados terceirizados. Os atestados de capacidade técnica deverão referir-se a serviços prestados no âmbito de sua atividade econômica principal ou secundária especificadas no contrato social vigente.</w:t>
      </w:r>
    </w:p>
    <w:p w14:paraId="4D0CC943" w14:textId="47D9C45B" w:rsidR="007F4E3B" w:rsidRPr="00791C56" w:rsidRDefault="007F4E3B" w:rsidP="007F4E3B">
      <w:pPr>
        <w:pStyle w:val="SemEspaamento"/>
        <w:pBdr>
          <w:bottom w:val="single" w:sz="4" w:space="1" w:color="auto"/>
        </w:pBdr>
        <w:ind w:right="-568"/>
        <w:jc w:val="both"/>
        <w:rPr>
          <w:rFonts w:ascii="Arial Narrow" w:hAnsi="Arial Narrow" w:cs="Arial"/>
          <w:sz w:val="24"/>
          <w:szCs w:val="24"/>
        </w:rPr>
      </w:pPr>
      <w:r w:rsidRPr="00791C56">
        <w:rPr>
          <w:rFonts w:ascii="Arial Narrow" w:hAnsi="Arial Narrow" w:cs="Arial"/>
          <w:sz w:val="24"/>
          <w:szCs w:val="24"/>
        </w:rPr>
        <w:t>4.2. Somente serão aceitos contrato(s), atestado(s), declaração(</w:t>
      </w:r>
      <w:proofErr w:type="spellStart"/>
      <w:r w:rsidRPr="00791C56">
        <w:rPr>
          <w:rFonts w:ascii="Arial Narrow" w:hAnsi="Arial Narrow" w:cs="Arial"/>
          <w:sz w:val="24"/>
          <w:szCs w:val="24"/>
        </w:rPr>
        <w:t>ões</w:t>
      </w:r>
      <w:proofErr w:type="spellEnd"/>
      <w:r w:rsidRPr="00791C56">
        <w:rPr>
          <w:rFonts w:ascii="Arial Narrow" w:hAnsi="Arial Narrow" w:cs="Arial"/>
          <w:sz w:val="24"/>
          <w:szCs w:val="24"/>
        </w:rPr>
        <w:t>) ou outros documentos idôneos expedidos após a conclusão do contrato ou se decorrido, pelo menos, um ano do início de sua execução, exceto se firmado para ser executado em prazo inferior.</w:t>
      </w:r>
    </w:p>
    <w:p w14:paraId="0F8B12E1" w14:textId="3919A89E" w:rsidR="007F4E3B" w:rsidRPr="009718A0" w:rsidRDefault="007F4E3B" w:rsidP="007F4E3B">
      <w:pPr>
        <w:pStyle w:val="SemEspaamento"/>
        <w:pBdr>
          <w:bottom w:val="single" w:sz="4" w:space="1" w:color="auto"/>
        </w:pBdr>
        <w:ind w:right="-568"/>
        <w:jc w:val="both"/>
        <w:rPr>
          <w:rFonts w:ascii="Arial Narrow" w:hAnsi="Arial Narrow"/>
          <w:bCs/>
          <w:sz w:val="24"/>
          <w:szCs w:val="24"/>
        </w:rPr>
      </w:pPr>
      <w:r w:rsidRPr="009718A0">
        <w:rPr>
          <w:rFonts w:ascii="Arial Narrow" w:hAnsi="Arial Narrow" w:cs="Arial"/>
          <w:sz w:val="24"/>
          <w:szCs w:val="24"/>
        </w:rPr>
        <w:t>4.3. Quando existir dúvida em relação à veracidade do documento, serão solicitados documentos comprobatórios, tais como cópias de notas fiscais, recibos, contratos, nota de empenho, Demonstrativo de Resultados, devendo ser enviados por sistema em até 2 (duas) horas, contadas da solicitação, e enviados os originais ou cópia autenticada, via correio, em até 48 horas após a solicitação</w:t>
      </w:r>
      <w:r w:rsidR="00791C56" w:rsidRPr="009718A0">
        <w:rPr>
          <w:rFonts w:ascii="Arial Narrow" w:hAnsi="Arial Narrow" w:cs="Arial"/>
          <w:sz w:val="24"/>
          <w:szCs w:val="24"/>
        </w:rPr>
        <w:t>.</w:t>
      </w:r>
    </w:p>
    <w:p w14:paraId="4307D90B" w14:textId="77777777" w:rsidR="007F4E3B" w:rsidRDefault="007F4E3B" w:rsidP="008E40CE">
      <w:pPr>
        <w:pStyle w:val="SemEspaamento"/>
        <w:pBdr>
          <w:bottom w:val="single" w:sz="4" w:space="1" w:color="auto"/>
        </w:pBdr>
        <w:ind w:right="-568"/>
        <w:jc w:val="both"/>
        <w:rPr>
          <w:rFonts w:ascii="Arial Narrow" w:hAnsi="Arial Narrow"/>
          <w:b/>
          <w:sz w:val="24"/>
          <w:szCs w:val="24"/>
        </w:rPr>
      </w:pPr>
    </w:p>
    <w:p w14:paraId="75C70AD4" w14:textId="024FA04D" w:rsidR="008E40CE" w:rsidRPr="00791C56" w:rsidRDefault="00791C56" w:rsidP="008E40CE">
      <w:pPr>
        <w:pStyle w:val="SemEspaamento"/>
        <w:pBdr>
          <w:bottom w:val="single" w:sz="4" w:space="1" w:color="auto"/>
        </w:pBdr>
        <w:ind w:right="-568"/>
        <w:jc w:val="both"/>
        <w:rPr>
          <w:rFonts w:ascii="Arial Narrow" w:hAnsi="Arial Narrow"/>
          <w:b/>
          <w:sz w:val="24"/>
          <w:szCs w:val="24"/>
        </w:rPr>
      </w:pPr>
      <w:r w:rsidRPr="00791C56">
        <w:rPr>
          <w:rFonts w:ascii="Arial Narrow" w:hAnsi="Arial Narrow"/>
          <w:b/>
          <w:sz w:val="24"/>
          <w:szCs w:val="24"/>
        </w:rPr>
        <w:t>5</w:t>
      </w:r>
      <w:r w:rsidR="008E40CE" w:rsidRPr="00791C56">
        <w:rPr>
          <w:rFonts w:ascii="Arial Narrow" w:hAnsi="Arial Narrow"/>
          <w:b/>
          <w:sz w:val="24"/>
          <w:szCs w:val="24"/>
        </w:rPr>
        <w:t>. DECLARAÇÕES</w:t>
      </w:r>
    </w:p>
    <w:p w14:paraId="6FF76F9B"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4</w:t>
      </w:r>
      <w:r>
        <w:rPr>
          <w:rFonts w:ascii="Arial Narrow" w:hAnsi="Arial Narrow"/>
          <w:sz w:val="24"/>
          <w:szCs w:val="24"/>
        </w:rPr>
        <w:t>.1</w:t>
      </w:r>
      <w:r w:rsidRPr="008E40CE">
        <w:rPr>
          <w:rFonts w:ascii="Arial Narrow" w:hAnsi="Arial Narrow"/>
          <w:sz w:val="24"/>
          <w:szCs w:val="24"/>
        </w:rPr>
        <w:t xml:space="preserve"> O licitante deverá apresentar também, para fins de habil</w:t>
      </w:r>
      <w:r>
        <w:rPr>
          <w:rFonts w:ascii="Arial Narrow" w:hAnsi="Arial Narrow"/>
          <w:sz w:val="24"/>
          <w:szCs w:val="24"/>
        </w:rPr>
        <w:t xml:space="preserve">itação, o documento DECLARAÇÕES </w:t>
      </w:r>
      <w:r w:rsidRPr="008E40CE">
        <w:rPr>
          <w:rFonts w:ascii="Arial Narrow" w:hAnsi="Arial Narrow"/>
          <w:sz w:val="24"/>
          <w:szCs w:val="24"/>
        </w:rPr>
        <w:t>UNIFICADAS (Anexo 06 deste Edital), que contém:</w:t>
      </w:r>
    </w:p>
    <w:p w14:paraId="0281929C"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a) Declaração do proponente de que não pesa contra si, declaração de inidoneidade que tenha sido expedida por órgão da Administração Pública de qualquer esfera de Governo;</w:t>
      </w:r>
    </w:p>
    <w:p w14:paraId="3FE2238B"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 xml:space="preserve">b) Declaração de que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w:t>
      </w:r>
      <w:r w:rsidRPr="008E40CE">
        <w:rPr>
          <w:rFonts w:ascii="Arial Narrow" w:hAnsi="Arial Narrow"/>
          <w:sz w:val="24"/>
          <w:szCs w:val="24"/>
        </w:rPr>
        <w:lastRenderedPageBreak/>
        <w:t>entrega em definitivo e que cumpre plenamente os requisitos de habilitação definidos no instrumento convocatório;</w:t>
      </w:r>
    </w:p>
    <w:p w14:paraId="617A602A"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c) Declaração de que não emprega menor de 18 anos em trabalho noturno, perigoso ou insalubre e não emprega menor de 16 anos, salvo menor, a partir de 14 anos, na condição de aprendiz, nos termos do artigo 7°, XXXIII, da Constituição;</w:t>
      </w:r>
    </w:p>
    <w:p w14:paraId="2EC825D8" w14:textId="77777777" w:rsidR="008E40CE" w:rsidRPr="008E40CE" w:rsidRDefault="008E40CE" w:rsidP="003367DF">
      <w:pPr>
        <w:pStyle w:val="SemEspaamento"/>
        <w:ind w:right="-568"/>
        <w:jc w:val="both"/>
        <w:rPr>
          <w:rFonts w:ascii="Arial Narrow" w:hAnsi="Arial Narrow"/>
          <w:sz w:val="24"/>
          <w:szCs w:val="24"/>
        </w:rPr>
      </w:pPr>
      <w:r w:rsidRPr="008E40CE">
        <w:rPr>
          <w:rFonts w:ascii="Arial Narrow" w:hAnsi="Arial Narrow"/>
          <w:sz w:val="24"/>
          <w:szCs w:val="24"/>
        </w:rPr>
        <w:t>d) Declaração de que não possui empregados executando trabalho degradante ou forçado, observando o disposto nos incisos III e IV do art. 1° e no inciso III do art. 5° da Constituição Federal;</w:t>
      </w:r>
      <w:r w:rsidR="003367DF" w:rsidRPr="008E40CE">
        <w:rPr>
          <w:rFonts w:ascii="Arial Narrow" w:hAnsi="Arial Narrow"/>
          <w:sz w:val="24"/>
          <w:szCs w:val="24"/>
        </w:rPr>
        <w:t xml:space="preserve"> </w:t>
      </w:r>
    </w:p>
    <w:p w14:paraId="4F60893D" w14:textId="7695A49B"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 xml:space="preserve">e) Declaração de não possuir pessoas no quadro societário (contrato social, estatuto social), impedidas de contratar com </w:t>
      </w:r>
      <w:r w:rsidR="00791C56">
        <w:rPr>
          <w:rFonts w:ascii="Arial Narrow" w:hAnsi="Arial Narrow"/>
          <w:sz w:val="24"/>
          <w:szCs w:val="24"/>
        </w:rPr>
        <w:t xml:space="preserve">a Câmara Municipal de </w:t>
      </w:r>
      <w:r w:rsidR="003367DF">
        <w:rPr>
          <w:rFonts w:ascii="Arial Narrow" w:hAnsi="Arial Narrow"/>
          <w:sz w:val="24"/>
          <w:szCs w:val="24"/>
        </w:rPr>
        <w:t>Carambeí</w:t>
      </w:r>
      <w:r w:rsidRPr="008E40CE">
        <w:rPr>
          <w:rFonts w:ascii="Arial Narrow" w:hAnsi="Arial Narrow"/>
          <w:sz w:val="24"/>
          <w:szCs w:val="24"/>
        </w:rPr>
        <w:t>, nos termos do artigo 14 da Lei 14.133/21 e PREJULGADO n° 9 do Tribunal de Contas do Estado do Paraná.</w:t>
      </w:r>
    </w:p>
    <w:p w14:paraId="457DC4B9"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f) Declaração de que cumpre as exigências de reserva de cargos para pessoa com deficiência e para reabilitado da Previdência Social, previstas em lei e em outras normas específicas;</w:t>
      </w:r>
    </w:p>
    <w:p w14:paraId="04F0C5B4" w14:textId="77777777" w:rsid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g) Declaração de enquadramento em regime de tributação de microempresa ou Empresa de Pequeno Porte (na hipótese do licitante ser um ME ou EPP).</w:t>
      </w:r>
    </w:p>
    <w:p w14:paraId="23DD2B5C" w14:textId="77777777" w:rsidR="008E40CE" w:rsidRPr="008E40CE" w:rsidRDefault="003367DF" w:rsidP="008E40CE">
      <w:pPr>
        <w:pStyle w:val="SemEspaamento"/>
        <w:ind w:right="-568"/>
        <w:jc w:val="both"/>
        <w:rPr>
          <w:rFonts w:ascii="Arial Narrow" w:hAnsi="Arial Narrow"/>
          <w:sz w:val="24"/>
          <w:szCs w:val="24"/>
        </w:rPr>
      </w:pPr>
      <w:r w:rsidRPr="007E39A6">
        <w:rPr>
          <w:rFonts w:ascii="Arial Narrow" w:hAnsi="Arial Narrow"/>
          <w:color w:val="000000" w:themeColor="text1"/>
          <w:sz w:val="24"/>
          <w:szCs w:val="24"/>
        </w:rPr>
        <w:t>4.2</w:t>
      </w:r>
      <w:r w:rsidR="008E40CE" w:rsidRPr="007E39A6">
        <w:rPr>
          <w:rFonts w:ascii="Arial Narrow" w:hAnsi="Arial Narrow"/>
          <w:color w:val="000000" w:themeColor="text1"/>
          <w:sz w:val="24"/>
          <w:szCs w:val="24"/>
        </w:rPr>
        <w:t>. DECLARAÇÃO DAS CONDIÇÕES DE ENTREGA DO OBJETO, de acordo com o modelo constante no Anexo 07</w:t>
      </w:r>
      <w:r w:rsidR="008E40CE" w:rsidRPr="008E40CE">
        <w:rPr>
          <w:rFonts w:ascii="Arial Narrow" w:hAnsi="Arial Narrow"/>
          <w:sz w:val="24"/>
          <w:szCs w:val="24"/>
        </w:rPr>
        <w:t>.</w:t>
      </w:r>
    </w:p>
    <w:p w14:paraId="76D53F43"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4.</w:t>
      </w:r>
      <w:r w:rsidR="003367DF">
        <w:rPr>
          <w:rFonts w:ascii="Arial Narrow" w:hAnsi="Arial Narrow"/>
          <w:sz w:val="24"/>
          <w:szCs w:val="24"/>
        </w:rPr>
        <w:t>3</w:t>
      </w:r>
      <w:r w:rsidRPr="008E40CE">
        <w:rPr>
          <w:rFonts w:ascii="Arial Narrow" w:hAnsi="Arial Narrow"/>
          <w:sz w:val="24"/>
          <w:szCs w:val="24"/>
        </w:rPr>
        <w:t>. DECLARAÇÃO DE INFORMAÇÕES PARA FINS DE ASSINATURA DO CONTRATO, de</w:t>
      </w:r>
    </w:p>
    <w:p w14:paraId="6DE8DB2F"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acordo com o modelo constante no Anexo 08.</w:t>
      </w:r>
    </w:p>
    <w:p w14:paraId="192D7F01"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4.</w:t>
      </w:r>
      <w:r w:rsidR="003367DF">
        <w:rPr>
          <w:rFonts w:ascii="Arial Narrow" w:hAnsi="Arial Narrow"/>
          <w:sz w:val="24"/>
          <w:szCs w:val="24"/>
        </w:rPr>
        <w:t>4</w:t>
      </w:r>
      <w:r w:rsidRPr="008E40CE">
        <w:rPr>
          <w:rFonts w:ascii="Arial Narrow" w:hAnsi="Arial Narrow"/>
          <w:sz w:val="24"/>
          <w:szCs w:val="24"/>
        </w:rPr>
        <w:t>. DECLARAÇÃO LGPD (LEI GERAL DE PROTEÇÃO DE DADOS), de acordo com o modelo constante no Anexo 09.</w:t>
      </w:r>
    </w:p>
    <w:p w14:paraId="016E169E" w14:textId="77777777" w:rsidR="008E40CE" w:rsidRDefault="003367DF" w:rsidP="008E40CE">
      <w:pPr>
        <w:pStyle w:val="SemEspaamento"/>
        <w:ind w:right="-568"/>
        <w:jc w:val="both"/>
        <w:rPr>
          <w:rFonts w:ascii="Arial Narrow" w:hAnsi="Arial Narrow"/>
          <w:sz w:val="24"/>
          <w:szCs w:val="24"/>
        </w:rPr>
      </w:pPr>
      <w:r>
        <w:rPr>
          <w:rFonts w:ascii="Arial Narrow" w:hAnsi="Arial Narrow"/>
          <w:sz w:val="24"/>
          <w:szCs w:val="24"/>
        </w:rPr>
        <w:t>4.5</w:t>
      </w:r>
      <w:r w:rsidR="008E40CE" w:rsidRPr="008E40CE">
        <w:rPr>
          <w:rFonts w:ascii="Arial Narrow" w:hAnsi="Arial Narrow"/>
          <w:sz w:val="24"/>
          <w:szCs w:val="24"/>
        </w:rPr>
        <w:t>. TERMO DE INDICAÇÃO DE PREPOSTO, de acordo com o modelo constante no Anexo 10.</w:t>
      </w:r>
    </w:p>
    <w:p w14:paraId="7FFDA34A" w14:textId="2A10513F" w:rsidR="00791C56" w:rsidRDefault="00791C56" w:rsidP="008E40CE">
      <w:pPr>
        <w:pStyle w:val="SemEspaamento"/>
        <w:ind w:right="-568"/>
        <w:jc w:val="both"/>
        <w:rPr>
          <w:rFonts w:ascii="Arial Narrow" w:hAnsi="Arial Narrow" w:cs="Arial"/>
          <w:sz w:val="24"/>
          <w:szCs w:val="24"/>
        </w:rPr>
      </w:pPr>
      <w:r w:rsidRPr="009718A0">
        <w:rPr>
          <w:rFonts w:ascii="Arial Narrow" w:hAnsi="Arial Narrow"/>
          <w:sz w:val="24"/>
          <w:szCs w:val="24"/>
        </w:rPr>
        <w:t xml:space="preserve">4.6. </w:t>
      </w:r>
      <w:r w:rsidRPr="009718A0">
        <w:rPr>
          <w:rFonts w:ascii="Arial Narrow" w:hAnsi="Arial Narrow" w:cs="Arial"/>
          <w:sz w:val="24"/>
          <w:szCs w:val="24"/>
        </w:rPr>
        <w:t>DECLARAÇÃO DE PLENO DO OBJETO, de acordo com o modelo constante no Anexo 11.</w:t>
      </w:r>
    </w:p>
    <w:p w14:paraId="21482024" w14:textId="67E904C8" w:rsidR="009718A0" w:rsidRPr="009718A0" w:rsidRDefault="009718A0" w:rsidP="008E40CE">
      <w:pPr>
        <w:pStyle w:val="SemEspaamento"/>
        <w:ind w:right="-568"/>
        <w:jc w:val="both"/>
        <w:rPr>
          <w:rFonts w:ascii="Arial Narrow" w:hAnsi="Arial Narrow"/>
          <w:sz w:val="24"/>
          <w:szCs w:val="24"/>
        </w:rPr>
      </w:pPr>
      <w:r>
        <w:rPr>
          <w:rFonts w:ascii="Arial Narrow" w:hAnsi="Arial Narrow" w:cs="Arial"/>
          <w:sz w:val="24"/>
          <w:szCs w:val="24"/>
        </w:rPr>
        <w:t xml:space="preserve">4.7. </w:t>
      </w:r>
      <w:r w:rsidRPr="009718A0">
        <w:rPr>
          <w:rFonts w:ascii="Arial Narrow" w:hAnsi="Arial Narrow" w:cs="Arial"/>
          <w:sz w:val="24"/>
          <w:szCs w:val="24"/>
        </w:rPr>
        <w:t>D</w:t>
      </w:r>
      <w:r w:rsidRPr="009718A0">
        <w:rPr>
          <w:rFonts w:ascii="Arial Narrow" w:hAnsi="Arial Narrow" w:cs="Arial"/>
          <w:kern w:val="2"/>
          <w:sz w:val="24"/>
          <w:szCs w:val="24"/>
        </w:rPr>
        <w:t xml:space="preserve">eclaração informando o enquadramento sindical da empresa, conforme item 16.17 do Termo de </w:t>
      </w:r>
      <w:proofErr w:type="gramStart"/>
      <w:r w:rsidRPr="009718A0">
        <w:rPr>
          <w:rFonts w:ascii="Arial Narrow" w:hAnsi="Arial Narrow" w:cs="Arial"/>
          <w:kern w:val="2"/>
          <w:sz w:val="24"/>
          <w:szCs w:val="24"/>
        </w:rPr>
        <w:t>referência.</w:t>
      </w:r>
      <w:r w:rsidR="007A12D3">
        <w:rPr>
          <w:rFonts w:ascii="Arial Narrow" w:hAnsi="Arial Narrow" w:cs="Arial"/>
          <w:kern w:val="2"/>
          <w:sz w:val="24"/>
          <w:szCs w:val="24"/>
        </w:rPr>
        <w:t>(</w:t>
      </w:r>
      <w:proofErr w:type="gramEnd"/>
      <w:r w:rsidR="007A12D3">
        <w:rPr>
          <w:rFonts w:ascii="Arial Narrow" w:hAnsi="Arial Narrow" w:cs="Arial"/>
          <w:kern w:val="2"/>
          <w:sz w:val="24"/>
          <w:szCs w:val="24"/>
        </w:rPr>
        <w:t>Modelo constante no Anexo 13)</w:t>
      </w:r>
    </w:p>
    <w:p w14:paraId="77666949" w14:textId="6976EE48"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4.</w:t>
      </w:r>
      <w:r w:rsidR="009718A0">
        <w:rPr>
          <w:rFonts w:ascii="Arial Narrow" w:hAnsi="Arial Narrow"/>
          <w:sz w:val="24"/>
          <w:szCs w:val="24"/>
        </w:rPr>
        <w:t>8</w:t>
      </w:r>
      <w:r w:rsidRPr="008E40CE">
        <w:rPr>
          <w:rFonts w:ascii="Arial Narrow" w:hAnsi="Arial Narrow"/>
          <w:sz w:val="24"/>
          <w:szCs w:val="24"/>
        </w:rPr>
        <w:t>. O licitante organizado em cooperativa deverá declarar, ainda, que cumpre os requisitos estabelecidos no artigo 16 da Lei n° 14.133, de 2021.</w:t>
      </w:r>
    </w:p>
    <w:p w14:paraId="2EE21713" w14:textId="2698B4B4"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4.</w:t>
      </w:r>
      <w:r w:rsidR="009718A0">
        <w:rPr>
          <w:rFonts w:ascii="Arial Narrow" w:hAnsi="Arial Narrow"/>
          <w:sz w:val="24"/>
          <w:szCs w:val="24"/>
        </w:rPr>
        <w:t>9</w:t>
      </w:r>
      <w:r w:rsidRPr="008E40CE">
        <w:rPr>
          <w:rFonts w:ascii="Arial Narrow" w:hAnsi="Arial Narrow"/>
          <w:sz w:val="24"/>
          <w:szCs w:val="24"/>
        </w:rPr>
        <w:t>. A falsidade das declarações tratadas neste item sujeitará o licitante às sanções previstas na Lei n° 14.133, de 2021, e neste Edital.</w:t>
      </w:r>
    </w:p>
    <w:p w14:paraId="329BF52B" w14:textId="08274AC0"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4.</w:t>
      </w:r>
      <w:r w:rsidR="009718A0">
        <w:rPr>
          <w:rFonts w:ascii="Arial Narrow" w:hAnsi="Arial Narrow"/>
          <w:sz w:val="24"/>
          <w:szCs w:val="24"/>
        </w:rPr>
        <w:t>10</w:t>
      </w:r>
      <w:r w:rsidRPr="008E40CE">
        <w:rPr>
          <w:rFonts w:ascii="Arial Narrow" w:hAnsi="Arial Narrow"/>
          <w:sz w:val="24"/>
          <w:szCs w:val="24"/>
        </w:rPr>
        <w:t>. A existência de restrição relativamente à regularidade fiscal e trabalhista não impede que a licitante qualificada como microempresa ou empresa de pequeno porte seja declarada vencedora, uma vez que atenda a todas as demais exigências do edital.</w:t>
      </w:r>
    </w:p>
    <w:p w14:paraId="24192E1E" w14:textId="3F8372A6"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4.</w:t>
      </w:r>
      <w:r w:rsidR="00791C56">
        <w:rPr>
          <w:rFonts w:ascii="Arial Narrow" w:hAnsi="Arial Narrow"/>
          <w:sz w:val="24"/>
          <w:szCs w:val="24"/>
        </w:rPr>
        <w:t>1</w:t>
      </w:r>
      <w:r w:rsidR="009718A0">
        <w:rPr>
          <w:rFonts w:ascii="Arial Narrow" w:hAnsi="Arial Narrow"/>
          <w:sz w:val="24"/>
          <w:szCs w:val="24"/>
        </w:rPr>
        <w:t>1</w:t>
      </w:r>
      <w:r w:rsidRPr="008E40CE">
        <w:rPr>
          <w:rFonts w:ascii="Arial Narrow" w:hAnsi="Arial Narrow"/>
          <w:sz w:val="24"/>
          <w:szCs w:val="24"/>
        </w:rPr>
        <w:t>. Caso a proposta mais vantajosa seja ofertada por licitante qualificada como microempresa ou empresa de pequeno porte e seja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750AF0EA" w14:textId="07432251"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4.1</w:t>
      </w:r>
      <w:r w:rsidR="009718A0">
        <w:rPr>
          <w:rFonts w:ascii="Arial Narrow" w:hAnsi="Arial Narrow"/>
          <w:sz w:val="24"/>
          <w:szCs w:val="24"/>
        </w:rPr>
        <w:t>2</w:t>
      </w:r>
      <w:r w:rsidRPr="008E40CE">
        <w:rPr>
          <w:rFonts w:ascii="Arial Narrow" w:hAnsi="Arial Narrow"/>
          <w:sz w:val="24"/>
          <w:szCs w:val="24"/>
        </w:rPr>
        <w:t>.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3FC92DCE" w14:textId="465E2D5B" w:rsidR="008E40CE" w:rsidRPr="008E40CE" w:rsidRDefault="003367DF" w:rsidP="008E40CE">
      <w:pPr>
        <w:pStyle w:val="SemEspaamento"/>
        <w:ind w:right="-568"/>
        <w:jc w:val="both"/>
        <w:rPr>
          <w:rFonts w:ascii="Arial Narrow" w:hAnsi="Arial Narrow"/>
          <w:sz w:val="24"/>
          <w:szCs w:val="24"/>
        </w:rPr>
      </w:pPr>
      <w:r>
        <w:rPr>
          <w:rFonts w:ascii="Arial Narrow" w:hAnsi="Arial Narrow"/>
          <w:sz w:val="24"/>
          <w:szCs w:val="24"/>
        </w:rPr>
        <w:t>4.1</w:t>
      </w:r>
      <w:r w:rsidR="009718A0">
        <w:rPr>
          <w:rFonts w:ascii="Arial Narrow" w:hAnsi="Arial Narrow"/>
          <w:sz w:val="24"/>
          <w:szCs w:val="24"/>
        </w:rPr>
        <w:t>3</w:t>
      </w:r>
      <w:r w:rsidR="008E40CE" w:rsidRPr="008E40CE">
        <w:rPr>
          <w:rFonts w:ascii="Arial Narrow" w:hAnsi="Arial Narrow"/>
          <w:sz w:val="24"/>
          <w:szCs w:val="24"/>
        </w:rPr>
        <w:t>. Caso admitida a participação de cooperativas, será exigida a seguinte documentação complementar:</w:t>
      </w:r>
    </w:p>
    <w:p w14:paraId="23EF07C9" w14:textId="3B77D4B4" w:rsidR="008E40CE" w:rsidRPr="008E40CE" w:rsidRDefault="003367DF" w:rsidP="008E40CE">
      <w:pPr>
        <w:pStyle w:val="SemEspaamento"/>
        <w:ind w:right="-568"/>
        <w:jc w:val="both"/>
        <w:rPr>
          <w:rFonts w:ascii="Arial Narrow" w:hAnsi="Arial Narrow"/>
          <w:sz w:val="24"/>
          <w:szCs w:val="24"/>
        </w:rPr>
      </w:pPr>
      <w:r>
        <w:rPr>
          <w:rFonts w:ascii="Arial Narrow" w:hAnsi="Arial Narrow"/>
          <w:sz w:val="24"/>
          <w:szCs w:val="24"/>
        </w:rPr>
        <w:lastRenderedPageBreak/>
        <w:t>4.1</w:t>
      </w:r>
      <w:r w:rsidR="009718A0">
        <w:rPr>
          <w:rFonts w:ascii="Arial Narrow" w:hAnsi="Arial Narrow"/>
          <w:sz w:val="24"/>
          <w:szCs w:val="24"/>
        </w:rPr>
        <w:t>3</w:t>
      </w:r>
      <w:r w:rsidR="008E40CE" w:rsidRPr="008E40CE">
        <w:rPr>
          <w:rFonts w:ascii="Arial Narrow" w:hAnsi="Arial Narrow"/>
          <w:sz w:val="24"/>
          <w:szCs w:val="24"/>
        </w:rPr>
        <w:t xml:space="preserve">.1. 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008E40CE" w:rsidRPr="008E40CE">
        <w:rPr>
          <w:rFonts w:ascii="Arial Narrow" w:hAnsi="Arial Narrow"/>
          <w:sz w:val="24"/>
          <w:szCs w:val="24"/>
        </w:rPr>
        <w:t>arts</w:t>
      </w:r>
      <w:proofErr w:type="spellEnd"/>
      <w:r w:rsidR="008E40CE" w:rsidRPr="008E40CE">
        <w:rPr>
          <w:rFonts w:ascii="Arial Narrow" w:hAnsi="Arial Narrow"/>
          <w:sz w:val="24"/>
          <w:szCs w:val="24"/>
        </w:rPr>
        <w:t>. 4°, inciso XI, 21, inciso I e 42, §§2° a 6° da Lei n. 5.764, de 1971;</w:t>
      </w:r>
    </w:p>
    <w:p w14:paraId="415A8D23" w14:textId="34AFB8AB"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4.1</w:t>
      </w:r>
      <w:r w:rsidR="009718A0">
        <w:rPr>
          <w:rFonts w:ascii="Arial Narrow" w:hAnsi="Arial Narrow"/>
          <w:sz w:val="24"/>
          <w:szCs w:val="24"/>
        </w:rPr>
        <w:t>3</w:t>
      </w:r>
      <w:r w:rsidRPr="008E40CE">
        <w:rPr>
          <w:rFonts w:ascii="Arial Narrow" w:hAnsi="Arial Narrow"/>
          <w:sz w:val="24"/>
          <w:szCs w:val="24"/>
        </w:rPr>
        <w:t>.2. A declaração de regularidade de situação do contribuinte individual - DRSCI, para cada um dos cooperados indicados;</w:t>
      </w:r>
    </w:p>
    <w:p w14:paraId="49E56137" w14:textId="0F589763"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4.</w:t>
      </w:r>
      <w:r w:rsidR="00791C56">
        <w:rPr>
          <w:rFonts w:ascii="Arial Narrow" w:hAnsi="Arial Narrow"/>
          <w:sz w:val="24"/>
          <w:szCs w:val="24"/>
        </w:rPr>
        <w:t>1</w:t>
      </w:r>
      <w:r w:rsidR="009718A0">
        <w:rPr>
          <w:rFonts w:ascii="Arial Narrow" w:hAnsi="Arial Narrow"/>
          <w:sz w:val="24"/>
          <w:szCs w:val="24"/>
        </w:rPr>
        <w:t>3</w:t>
      </w:r>
      <w:r w:rsidRPr="008E40CE">
        <w:rPr>
          <w:rFonts w:ascii="Arial Narrow" w:hAnsi="Arial Narrow"/>
          <w:sz w:val="24"/>
          <w:szCs w:val="24"/>
        </w:rPr>
        <w:t>.3. A comprovação do capital social proporcional ao número de cooperados necessários à prestação do serviço;</w:t>
      </w:r>
    </w:p>
    <w:p w14:paraId="7FCF4B3A" w14:textId="28304CB5" w:rsidR="008E40CE" w:rsidRPr="008E40CE" w:rsidRDefault="003367DF" w:rsidP="008E40CE">
      <w:pPr>
        <w:pStyle w:val="SemEspaamento"/>
        <w:ind w:right="-568"/>
        <w:jc w:val="both"/>
        <w:rPr>
          <w:rFonts w:ascii="Arial Narrow" w:hAnsi="Arial Narrow"/>
          <w:sz w:val="24"/>
          <w:szCs w:val="24"/>
        </w:rPr>
      </w:pPr>
      <w:r>
        <w:rPr>
          <w:rFonts w:ascii="Arial Narrow" w:hAnsi="Arial Narrow"/>
          <w:sz w:val="24"/>
          <w:szCs w:val="24"/>
        </w:rPr>
        <w:t>4.1</w:t>
      </w:r>
      <w:r w:rsidR="009718A0">
        <w:rPr>
          <w:rFonts w:ascii="Arial Narrow" w:hAnsi="Arial Narrow"/>
          <w:sz w:val="24"/>
          <w:szCs w:val="24"/>
        </w:rPr>
        <w:t>3</w:t>
      </w:r>
      <w:r w:rsidR="008E40CE" w:rsidRPr="008E40CE">
        <w:rPr>
          <w:rFonts w:ascii="Arial Narrow" w:hAnsi="Arial Narrow"/>
          <w:sz w:val="24"/>
          <w:szCs w:val="24"/>
        </w:rPr>
        <w:t>.4. O registro previsto na Lei n. 5.764, de 1971, art. 107;</w:t>
      </w:r>
    </w:p>
    <w:p w14:paraId="4E85DE84" w14:textId="4DC9E661" w:rsidR="008E40CE" w:rsidRPr="008E40CE" w:rsidRDefault="003367DF" w:rsidP="008E40CE">
      <w:pPr>
        <w:pStyle w:val="SemEspaamento"/>
        <w:ind w:right="-568"/>
        <w:jc w:val="both"/>
        <w:rPr>
          <w:rFonts w:ascii="Arial Narrow" w:hAnsi="Arial Narrow"/>
          <w:sz w:val="24"/>
          <w:szCs w:val="24"/>
        </w:rPr>
      </w:pPr>
      <w:r>
        <w:rPr>
          <w:rFonts w:ascii="Arial Narrow" w:hAnsi="Arial Narrow"/>
          <w:sz w:val="24"/>
          <w:szCs w:val="24"/>
        </w:rPr>
        <w:t>4.1</w:t>
      </w:r>
      <w:r w:rsidR="009718A0">
        <w:rPr>
          <w:rFonts w:ascii="Arial Narrow" w:hAnsi="Arial Narrow"/>
          <w:sz w:val="24"/>
          <w:szCs w:val="24"/>
        </w:rPr>
        <w:t>3</w:t>
      </w:r>
      <w:r w:rsidR="008E40CE" w:rsidRPr="008E40CE">
        <w:rPr>
          <w:rFonts w:ascii="Arial Narrow" w:hAnsi="Arial Narrow"/>
          <w:sz w:val="24"/>
          <w:szCs w:val="24"/>
        </w:rPr>
        <w:t>.5. A comprovação de integração das respectivas quotas-partes por parte dos cooperados que executarão o contrato; e</w:t>
      </w:r>
    </w:p>
    <w:p w14:paraId="00B63DE8" w14:textId="40B221D1" w:rsidR="008E40CE" w:rsidRPr="008E40CE" w:rsidRDefault="003367DF" w:rsidP="008E40CE">
      <w:pPr>
        <w:pStyle w:val="SemEspaamento"/>
        <w:ind w:right="-568"/>
        <w:jc w:val="both"/>
        <w:rPr>
          <w:rFonts w:ascii="Arial Narrow" w:hAnsi="Arial Narrow"/>
          <w:sz w:val="24"/>
          <w:szCs w:val="24"/>
        </w:rPr>
      </w:pPr>
      <w:r>
        <w:rPr>
          <w:rFonts w:ascii="Arial Narrow" w:hAnsi="Arial Narrow"/>
          <w:sz w:val="24"/>
          <w:szCs w:val="24"/>
        </w:rPr>
        <w:t>4.1</w:t>
      </w:r>
      <w:r w:rsidR="009718A0">
        <w:rPr>
          <w:rFonts w:ascii="Arial Narrow" w:hAnsi="Arial Narrow"/>
          <w:sz w:val="24"/>
          <w:szCs w:val="24"/>
        </w:rPr>
        <w:t>3</w:t>
      </w:r>
      <w:r w:rsidR="008E40CE" w:rsidRPr="008E40CE">
        <w:rPr>
          <w:rFonts w:ascii="Arial Narrow" w:hAnsi="Arial Narrow"/>
          <w:sz w:val="24"/>
          <w:szCs w:val="24"/>
        </w:rPr>
        <w:t>.6. Os seguintes documentos para a comprovação da regularidade jurídica da cooperativa:</w:t>
      </w:r>
    </w:p>
    <w:p w14:paraId="6A71997D"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a) Ata de fundação;</w:t>
      </w:r>
    </w:p>
    <w:p w14:paraId="231A30B2"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b) Estatuto social com a ata da assembleia que o aprovou;</w:t>
      </w:r>
    </w:p>
    <w:p w14:paraId="3ECAEB44"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c) Regimento dos fundos instituídos pelos cooperados, com a ata da assembleia;</w:t>
      </w:r>
    </w:p>
    <w:p w14:paraId="09B057F0"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d) Editais de convocação das três últimas assembleias gerais extraordinárias;</w:t>
      </w:r>
    </w:p>
    <w:p w14:paraId="4D2A498F"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e) Três registros de presença dos cooperados que executarão o contrato em assembleias gerais ou nas reuniões seccionais; e</w:t>
      </w:r>
    </w:p>
    <w:p w14:paraId="6A54D5B4"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f) Ata da sessão que os cooperados autorizaram a cooperativa a contratar o objeto da licitação;</w:t>
      </w:r>
    </w:p>
    <w:p w14:paraId="539743AA" w14:textId="77072AE8" w:rsidR="008E40CE" w:rsidRPr="008E40CE" w:rsidRDefault="003367DF" w:rsidP="008E40CE">
      <w:pPr>
        <w:pStyle w:val="SemEspaamento"/>
        <w:ind w:right="-568"/>
        <w:jc w:val="both"/>
        <w:rPr>
          <w:rFonts w:ascii="Arial Narrow" w:hAnsi="Arial Narrow"/>
          <w:sz w:val="24"/>
          <w:szCs w:val="24"/>
        </w:rPr>
      </w:pPr>
      <w:r>
        <w:rPr>
          <w:rFonts w:ascii="Arial Narrow" w:hAnsi="Arial Narrow"/>
          <w:sz w:val="24"/>
          <w:szCs w:val="24"/>
        </w:rPr>
        <w:t>4.1</w:t>
      </w:r>
      <w:r w:rsidR="009718A0">
        <w:rPr>
          <w:rFonts w:ascii="Arial Narrow" w:hAnsi="Arial Narrow"/>
          <w:sz w:val="24"/>
          <w:szCs w:val="24"/>
        </w:rPr>
        <w:t>3</w:t>
      </w:r>
      <w:r w:rsidR="008E40CE" w:rsidRPr="008E40CE">
        <w:rPr>
          <w:rFonts w:ascii="Arial Narrow" w:hAnsi="Arial Narrow"/>
          <w:sz w:val="24"/>
          <w:szCs w:val="24"/>
        </w:rPr>
        <w:t>.7. A última auditoria contábil-financeira da cooperativa, conforme dispõe o art. 112 da Lei n. 5.764, de 1971, ou uma declaração, sob as penas da lei, de que tal auditoria não foi exigida pelo órgão fiscalizador.</w:t>
      </w:r>
    </w:p>
    <w:p w14:paraId="6D0BB276" w14:textId="23ACFD6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4.1</w:t>
      </w:r>
      <w:r w:rsidR="009718A0">
        <w:rPr>
          <w:rFonts w:ascii="Arial Narrow" w:hAnsi="Arial Narrow"/>
          <w:sz w:val="24"/>
          <w:szCs w:val="24"/>
        </w:rPr>
        <w:t>4</w:t>
      </w:r>
      <w:r w:rsidRPr="008E40CE">
        <w:rPr>
          <w:rFonts w:ascii="Arial Narrow" w:hAnsi="Arial Narrow"/>
          <w:sz w:val="24"/>
          <w:szCs w:val="24"/>
        </w:rPr>
        <w:t>. Quando permitida a participação de empresas estrangeiras que não funcionem no País, as exigências de habilitação serão atendidas mediante documentos equivalentes, inicialmente apresentados em tradução livre.</w:t>
      </w:r>
    </w:p>
    <w:p w14:paraId="74CA53AC" w14:textId="233C463F"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4.1</w:t>
      </w:r>
      <w:r w:rsidR="009718A0">
        <w:rPr>
          <w:rFonts w:ascii="Arial Narrow" w:hAnsi="Arial Narrow"/>
          <w:sz w:val="24"/>
          <w:szCs w:val="24"/>
        </w:rPr>
        <w:t>5</w:t>
      </w:r>
      <w:r w:rsidRPr="008E40CE">
        <w:rPr>
          <w:rFonts w:ascii="Arial Narrow" w:hAnsi="Arial Narrow"/>
          <w:sz w:val="24"/>
          <w:szCs w:val="24"/>
        </w:rPr>
        <w:t xml:space="preserve">.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 8.660, de 29 de janeiro de 2016, ou de outro que venha a substituí-lo, ou </w:t>
      </w:r>
      <w:proofErr w:type="spellStart"/>
      <w:r w:rsidRPr="008E40CE">
        <w:rPr>
          <w:rFonts w:ascii="Arial Narrow" w:hAnsi="Arial Narrow"/>
          <w:sz w:val="24"/>
          <w:szCs w:val="24"/>
        </w:rPr>
        <w:t>consularizados</w:t>
      </w:r>
      <w:proofErr w:type="spellEnd"/>
      <w:r w:rsidRPr="008E40CE">
        <w:rPr>
          <w:rFonts w:ascii="Arial Narrow" w:hAnsi="Arial Narrow"/>
          <w:sz w:val="24"/>
          <w:szCs w:val="24"/>
        </w:rPr>
        <w:t xml:space="preserve"> pelos respectivos consulados ou embaixadas.</w:t>
      </w:r>
    </w:p>
    <w:p w14:paraId="10F8E29A" w14:textId="222DCC8D"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4.1</w:t>
      </w:r>
      <w:r w:rsidR="009718A0">
        <w:rPr>
          <w:rFonts w:ascii="Arial Narrow" w:hAnsi="Arial Narrow"/>
          <w:sz w:val="24"/>
          <w:szCs w:val="24"/>
        </w:rPr>
        <w:t>6</w:t>
      </w:r>
      <w:r w:rsidRPr="008E40CE">
        <w:rPr>
          <w:rFonts w:ascii="Arial Narrow" w:hAnsi="Arial Narrow"/>
          <w:sz w:val="24"/>
          <w:szCs w:val="24"/>
        </w:rPr>
        <w:t>. 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3719DDD3" w14:textId="57499FE0"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4.</w:t>
      </w:r>
      <w:r w:rsidR="003367DF">
        <w:rPr>
          <w:rFonts w:ascii="Arial Narrow" w:hAnsi="Arial Narrow"/>
          <w:sz w:val="24"/>
          <w:szCs w:val="24"/>
        </w:rPr>
        <w:t>1</w:t>
      </w:r>
      <w:r w:rsidR="009718A0">
        <w:rPr>
          <w:rFonts w:ascii="Arial Narrow" w:hAnsi="Arial Narrow"/>
          <w:sz w:val="24"/>
          <w:szCs w:val="24"/>
        </w:rPr>
        <w:t>7</w:t>
      </w:r>
      <w:r w:rsidRPr="008E40CE">
        <w:rPr>
          <w:rFonts w:ascii="Arial Narrow" w:hAnsi="Arial Narrow"/>
          <w:sz w:val="24"/>
          <w:szCs w:val="24"/>
        </w:rPr>
        <w:t>. Se o consórcio não for formado integralmente por microempresas ou empresas de pequeno porte e o termo de referência exigir requisitos de habilitação econômico-financeira, haverá um acréscimo de 20% para o consórcio em relação ao valor exigido para os licitantes individuais.</w:t>
      </w:r>
    </w:p>
    <w:p w14:paraId="765FC41C" w14:textId="670137BD"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4.</w:t>
      </w:r>
      <w:r w:rsidR="003367DF">
        <w:rPr>
          <w:rFonts w:ascii="Arial Narrow" w:hAnsi="Arial Narrow"/>
          <w:sz w:val="24"/>
          <w:szCs w:val="24"/>
        </w:rPr>
        <w:t>1</w:t>
      </w:r>
      <w:r w:rsidR="009718A0">
        <w:rPr>
          <w:rFonts w:ascii="Arial Narrow" w:hAnsi="Arial Narrow"/>
          <w:sz w:val="24"/>
          <w:szCs w:val="24"/>
        </w:rPr>
        <w:t>8</w:t>
      </w:r>
      <w:r w:rsidRPr="008E40CE">
        <w:rPr>
          <w:rFonts w:ascii="Arial Narrow" w:hAnsi="Arial Narrow"/>
          <w:sz w:val="24"/>
          <w:szCs w:val="24"/>
        </w:rPr>
        <w:t>. Os documentos exigidos para fins de habilitação poderão ser apresentados em original ou por cópia.</w:t>
      </w:r>
    </w:p>
    <w:p w14:paraId="52F36BEB" w14:textId="691452A7" w:rsidR="008E40CE" w:rsidRPr="008E40CE" w:rsidRDefault="003367DF" w:rsidP="008E40CE">
      <w:pPr>
        <w:pStyle w:val="SemEspaamento"/>
        <w:ind w:right="-568"/>
        <w:jc w:val="both"/>
        <w:rPr>
          <w:rFonts w:ascii="Arial Narrow" w:hAnsi="Arial Narrow"/>
          <w:sz w:val="24"/>
          <w:szCs w:val="24"/>
        </w:rPr>
      </w:pPr>
      <w:r>
        <w:rPr>
          <w:rFonts w:ascii="Arial Narrow" w:hAnsi="Arial Narrow"/>
          <w:sz w:val="24"/>
          <w:szCs w:val="24"/>
        </w:rPr>
        <w:t>4.1</w:t>
      </w:r>
      <w:r w:rsidR="009718A0">
        <w:rPr>
          <w:rFonts w:ascii="Arial Narrow" w:hAnsi="Arial Narrow"/>
          <w:sz w:val="24"/>
          <w:szCs w:val="24"/>
        </w:rPr>
        <w:t>9</w:t>
      </w:r>
      <w:r w:rsidR="008E40CE" w:rsidRPr="008E40CE">
        <w:rPr>
          <w:rFonts w:ascii="Arial Narrow" w:hAnsi="Arial Narrow"/>
          <w:sz w:val="24"/>
          <w:szCs w:val="24"/>
        </w:rPr>
        <w:t>. Os documentos exigidos para fins de habilitação poderão ser substituídos por registro cadastral</w:t>
      </w:r>
      <w:r w:rsidR="006A0B16">
        <w:rPr>
          <w:rFonts w:ascii="Arial Narrow" w:hAnsi="Arial Narrow"/>
          <w:sz w:val="24"/>
          <w:szCs w:val="24"/>
        </w:rPr>
        <w:t xml:space="preserve"> </w:t>
      </w:r>
      <w:r w:rsidR="008E40CE" w:rsidRPr="008E40CE">
        <w:rPr>
          <w:rFonts w:ascii="Arial Narrow" w:hAnsi="Arial Narrow"/>
          <w:sz w:val="24"/>
          <w:szCs w:val="24"/>
        </w:rPr>
        <w:t>emitido por órgão ou entidade pública, desde que o registro tenha sido feito em obediência ao disposto na Lei n° 14.133/2021.</w:t>
      </w:r>
    </w:p>
    <w:p w14:paraId="5F7FF90D" w14:textId="3386BC9F"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4.</w:t>
      </w:r>
      <w:r w:rsidR="009718A0">
        <w:rPr>
          <w:rFonts w:ascii="Arial Narrow" w:hAnsi="Arial Narrow"/>
          <w:sz w:val="24"/>
          <w:szCs w:val="24"/>
        </w:rPr>
        <w:t>20</w:t>
      </w:r>
      <w:r w:rsidRPr="008E40CE">
        <w:rPr>
          <w:rFonts w:ascii="Arial Narrow" w:hAnsi="Arial Narrow"/>
          <w:sz w:val="24"/>
          <w:szCs w:val="24"/>
        </w:rPr>
        <w:t>. Somente haverá a necessidade de comprovação do preenchimento de requisitos mediante apresentação dos documentos originais não-digitais quando houver dúvida em relação à integridade do documento digital ou quando a lei expressamente o exigir.</w:t>
      </w:r>
    </w:p>
    <w:p w14:paraId="4B824A07" w14:textId="17FA1A4E" w:rsidR="008E40CE" w:rsidRPr="008E40CE" w:rsidRDefault="003367DF" w:rsidP="008E40CE">
      <w:pPr>
        <w:pStyle w:val="SemEspaamento"/>
        <w:ind w:right="-568"/>
        <w:jc w:val="both"/>
        <w:rPr>
          <w:rFonts w:ascii="Arial Narrow" w:hAnsi="Arial Narrow"/>
          <w:sz w:val="24"/>
          <w:szCs w:val="24"/>
        </w:rPr>
      </w:pPr>
      <w:r>
        <w:rPr>
          <w:rFonts w:ascii="Arial Narrow" w:hAnsi="Arial Narrow"/>
          <w:sz w:val="24"/>
          <w:szCs w:val="24"/>
        </w:rPr>
        <w:lastRenderedPageBreak/>
        <w:t>4.</w:t>
      </w:r>
      <w:r w:rsidR="00791C56">
        <w:rPr>
          <w:rFonts w:ascii="Arial Narrow" w:hAnsi="Arial Narrow"/>
          <w:sz w:val="24"/>
          <w:szCs w:val="24"/>
        </w:rPr>
        <w:t>2</w:t>
      </w:r>
      <w:r w:rsidR="009718A0">
        <w:rPr>
          <w:rFonts w:ascii="Arial Narrow" w:hAnsi="Arial Narrow"/>
          <w:sz w:val="24"/>
          <w:szCs w:val="24"/>
        </w:rPr>
        <w:t>1</w:t>
      </w:r>
      <w:r w:rsidR="008E40CE" w:rsidRPr="008E40CE">
        <w:rPr>
          <w:rFonts w:ascii="Arial Narrow" w:hAnsi="Arial Narrow"/>
          <w:sz w:val="24"/>
          <w:szCs w:val="24"/>
        </w:rPr>
        <w:t>. É de responsabilidade do licitante conferir a exatidão dos seus dados cadastrais em plataformas ou cadastros (PNCP, SICAF, BLL) e mantê-los atualizados junto aos órgãos responsáveis pela informação, devendo proceder, imediatamente, à correção ou à alteração dos registros tão logo identifique incorreção ou aqueles se tornem desatualizados.</w:t>
      </w:r>
    </w:p>
    <w:p w14:paraId="605ED45E" w14:textId="720DA9ED"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4.2</w:t>
      </w:r>
      <w:r w:rsidR="009718A0">
        <w:rPr>
          <w:rFonts w:ascii="Arial Narrow" w:hAnsi="Arial Narrow"/>
          <w:sz w:val="24"/>
          <w:szCs w:val="24"/>
        </w:rPr>
        <w:t>2</w:t>
      </w:r>
      <w:r w:rsidRPr="008E40CE">
        <w:rPr>
          <w:rFonts w:ascii="Arial Narrow" w:hAnsi="Arial Narrow"/>
          <w:sz w:val="24"/>
          <w:szCs w:val="24"/>
        </w:rPr>
        <w:t>. A não observância do disposto no item anterior poderá ensejar desclassificação no momento da habilitação.</w:t>
      </w:r>
    </w:p>
    <w:p w14:paraId="31061495" w14:textId="6986F871" w:rsidR="008E40CE" w:rsidRPr="008E40CE" w:rsidRDefault="003367DF" w:rsidP="008E40CE">
      <w:pPr>
        <w:pStyle w:val="SemEspaamento"/>
        <w:ind w:right="-568"/>
        <w:jc w:val="both"/>
        <w:rPr>
          <w:rFonts w:ascii="Arial Narrow" w:hAnsi="Arial Narrow"/>
          <w:sz w:val="24"/>
          <w:szCs w:val="24"/>
        </w:rPr>
      </w:pPr>
      <w:r>
        <w:rPr>
          <w:rFonts w:ascii="Arial Narrow" w:hAnsi="Arial Narrow"/>
          <w:sz w:val="24"/>
          <w:szCs w:val="24"/>
        </w:rPr>
        <w:t>4.2</w:t>
      </w:r>
      <w:r w:rsidR="009718A0">
        <w:rPr>
          <w:rFonts w:ascii="Arial Narrow" w:hAnsi="Arial Narrow"/>
          <w:sz w:val="24"/>
          <w:szCs w:val="24"/>
        </w:rPr>
        <w:t>3</w:t>
      </w:r>
      <w:r w:rsidR="008E40CE" w:rsidRPr="008E40CE">
        <w:rPr>
          <w:rFonts w:ascii="Arial Narrow" w:hAnsi="Arial Narrow"/>
          <w:sz w:val="24"/>
          <w:szCs w:val="24"/>
        </w:rPr>
        <w:t>. A verificação pelo pregoeiro, em sítios eletrônicos oficiais de órgãos e entidades emissores de certidões constitui meio legal de prova, para fins de habilitação.</w:t>
      </w:r>
    </w:p>
    <w:p w14:paraId="51506A53" w14:textId="6A7368F8" w:rsidR="008E40CE" w:rsidRDefault="003367DF" w:rsidP="008E40CE">
      <w:pPr>
        <w:pStyle w:val="SemEspaamento"/>
        <w:ind w:right="-568"/>
        <w:jc w:val="both"/>
        <w:rPr>
          <w:rFonts w:ascii="Arial Narrow" w:hAnsi="Arial Narrow"/>
          <w:sz w:val="24"/>
          <w:szCs w:val="24"/>
        </w:rPr>
      </w:pPr>
      <w:r>
        <w:rPr>
          <w:rFonts w:ascii="Arial Narrow" w:hAnsi="Arial Narrow"/>
          <w:sz w:val="24"/>
          <w:szCs w:val="24"/>
        </w:rPr>
        <w:t>4.2</w:t>
      </w:r>
      <w:r w:rsidR="009718A0">
        <w:rPr>
          <w:rFonts w:ascii="Arial Narrow" w:hAnsi="Arial Narrow"/>
          <w:sz w:val="24"/>
          <w:szCs w:val="24"/>
        </w:rPr>
        <w:t>4</w:t>
      </w:r>
      <w:r w:rsidR="008E40CE" w:rsidRPr="008E40CE">
        <w:rPr>
          <w:rFonts w:ascii="Arial Narrow" w:hAnsi="Arial Narrow"/>
          <w:sz w:val="24"/>
          <w:szCs w:val="24"/>
        </w:rPr>
        <w:t>. Os documentos exigidos para habilitação serão enviados por meio do sistema, em formato digital, no prazo de no máximo, 0</w:t>
      </w:r>
      <w:r w:rsidR="00791C56">
        <w:rPr>
          <w:rFonts w:ascii="Arial Narrow" w:hAnsi="Arial Narrow"/>
          <w:sz w:val="24"/>
          <w:szCs w:val="24"/>
        </w:rPr>
        <w:t>1</w:t>
      </w:r>
      <w:r w:rsidR="008E40CE" w:rsidRPr="008E40CE">
        <w:rPr>
          <w:rFonts w:ascii="Arial Narrow" w:hAnsi="Arial Narrow"/>
          <w:sz w:val="24"/>
          <w:szCs w:val="24"/>
        </w:rPr>
        <w:t xml:space="preserve"> (</w:t>
      </w:r>
      <w:r w:rsidR="00791C56">
        <w:rPr>
          <w:rFonts w:ascii="Arial Narrow" w:hAnsi="Arial Narrow"/>
          <w:sz w:val="24"/>
          <w:szCs w:val="24"/>
        </w:rPr>
        <w:t>uma</w:t>
      </w:r>
      <w:r w:rsidR="008E40CE" w:rsidRPr="008E40CE">
        <w:rPr>
          <w:rFonts w:ascii="Arial Narrow" w:hAnsi="Arial Narrow"/>
          <w:sz w:val="24"/>
          <w:szCs w:val="24"/>
        </w:rPr>
        <w:t>) hora, contado da solicitação do Pregoeiro.</w:t>
      </w:r>
    </w:p>
    <w:p w14:paraId="4DE91A90" w14:textId="4D9EEE8B" w:rsidR="00C0106F" w:rsidRPr="008E40CE" w:rsidRDefault="00C0106F" w:rsidP="008E40CE">
      <w:pPr>
        <w:pStyle w:val="SemEspaamento"/>
        <w:ind w:right="-568"/>
        <w:jc w:val="both"/>
        <w:rPr>
          <w:rFonts w:ascii="Arial Narrow" w:hAnsi="Arial Narrow"/>
          <w:sz w:val="24"/>
          <w:szCs w:val="24"/>
        </w:rPr>
      </w:pPr>
      <w:r>
        <w:rPr>
          <w:rFonts w:ascii="Arial Narrow" w:hAnsi="Arial Narrow"/>
          <w:sz w:val="24"/>
          <w:szCs w:val="24"/>
        </w:rPr>
        <w:t>4.2</w:t>
      </w:r>
      <w:r w:rsidR="009718A0">
        <w:rPr>
          <w:rFonts w:ascii="Arial Narrow" w:hAnsi="Arial Narrow"/>
          <w:sz w:val="24"/>
          <w:szCs w:val="24"/>
        </w:rPr>
        <w:t>5</w:t>
      </w:r>
      <w:r>
        <w:rPr>
          <w:rFonts w:ascii="Arial Narrow" w:hAnsi="Arial Narrow"/>
          <w:sz w:val="24"/>
          <w:szCs w:val="24"/>
        </w:rPr>
        <w:t xml:space="preserve">. </w:t>
      </w:r>
      <w:r w:rsidRPr="00C0106F">
        <w:rPr>
          <w:rFonts w:ascii="Arial Narrow" w:hAnsi="Arial Narrow"/>
          <w:color w:val="000000" w:themeColor="text1"/>
          <w:sz w:val="24"/>
          <w:szCs w:val="24"/>
        </w:rPr>
        <w:t>Os documentos de habilitação deverão estar no formato PDF</w:t>
      </w:r>
      <w:r>
        <w:rPr>
          <w:rFonts w:ascii="Arial Narrow" w:hAnsi="Arial Narrow"/>
          <w:color w:val="EE0000"/>
          <w:sz w:val="24"/>
          <w:szCs w:val="24"/>
        </w:rPr>
        <w:t>.</w:t>
      </w:r>
    </w:p>
    <w:p w14:paraId="150BD5F6" w14:textId="4DBA5F28" w:rsidR="008E40CE" w:rsidRPr="008E40CE" w:rsidRDefault="003367DF" w:rsidP="008E40CE">
      <w:pPr>
        <w:pStyle w:val="SemEspaamento"/>
        <w:ind w:right="-568"/>
        <w:jc w:val="both"/>
        <w:rPr>
          <w:rFonts w:ascii="Arial Narrow" w:hAnsi="Arial Narrow"/>
          <w:sz w:val="24"/>
          <w:szCs w:val="24"/>
        </w:rPr>
      </w:pPr>
      <w:r>
        <w:rPr>
          <w:rFonts w:ascii="Arial Narrow" w:hAnsi="Arial Narrow"/>
          <w:sz w:val="24"/>
          <w:szCs w:val="24"/>
        </w:rPr>
        <w:t>4.2</w:t>
      </w:r>
      <w:r w:rsidR="009718A0">
        <w:rPr>
          <w:rFonts w:ascii="Arial Narrow" w:hAnsi="Arial Narrow"/>
          <w:sz w:val="24"/>
          <w:szCs w:val="24"/>
        </w:rPr>
        <w:t>6</w:t>
      </w:r>
      <w:r w:rsidR="008E40CE" w:rsidRPr="008E40CE">
        <w:rPr>
          <w:rFonts w:ascii="Arial Narrow" w:hAnsi="Arial Narrow"/>
          <w:sz w:val="24"/>
          <w:szCs w:val="24"/>
        </w:rPr>
        <w:t>. A verificação dos documentos de habilitação somente será feita em relação ao licitante vencedor.</w:t>
      </w:r>
    </w:p>
    <w:p w14:paraId="021BEFC0" w14:textId="40273E68"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4.2</w:t>
      </w:r>
      <w:r w:rsidR="009718A0">
        <w:rPr>
          <w:rFonts w:ascii="Arial Narrow" w:hAnsi="Arial Narrow"/>
          <w:sz w:val="24"/>
          <w:szCs w:val="24"/>
        </w:rPr>
        <w:t>7</w:t>
      </w:r>
      <w:r w:rsidRPr="008E40CE">
        <w:rPr>
          <w:rFonts w:ascii="Arial Narrow" w:hAnsi="Arial Narrow"/>
          <w:sz w:val="24"/>
          <w:szCs w:val="24"/>
        </w:rPr>
        <w:t>. Os documentos relativos à regularidade fiscal somente serão exigidos, em qualquer caso, em momento posterior ao julgamento das propostas, e apenas do licitante mais bem classificado.</w:t>
      </w:r>
    </w:p>
    <w:p w14:paraId="04C940C4" w14:textId="4335E3B8" w:rsidR="008E40CE" w:rsidRPr="008E40CE" w:rsidRDefault="003367DF" w:rsidP="008E40CE">
      <w:pPr>
        <w:pStyle w:val="SemEspaamento"/>
        <w:ind w:right="-568"/>
        <w:jc w:val="both"/>
        <w:rPr>
          <w:rFonts w:ascii="Arial Narrow" w:hAnsi="Arial Narrow"/>
          <w:sz w:val="24"/>
          <w:szCs w:val="24"/>
        </w:rPr>
      </w:pPr>
      <w:r>
        <w:rPr>
          <w:rFonts w:ascii="Arial Narrow" w:hAnsi="Arial Narrow"/>
          <w:sz w:val="24"/>
          <w:szCs w:val="24"/>
        </w:rPr>
        <w:t>4.2</w:t>
      </w:r>
      <w:r w:rsidR="009718A0">
        <w:rPr>
          <w:rFonts w:ascii="Arial Narrow" w:hAnsi="Arial Narrow"/>
          <w:sz w:val="24"/>
          <w:szCs w:val="24"/>
        </w:rPr>
        <w:t>8</w:t>
      </w:r>
      <w:r w:rsidR="008E40CE" w:rsidRPr="008E40CE">
        <w:rPr>
          <w:rFonts w:ascii="Arial Narrow" w:hAnsi="Arial Narrow"/>
          <w:sz w:val="24"/>
          <w:szCs w:val="24"/>
        </w:rPr>
        <w:t>. Após a entrega dos documentos para habilitação, não será permitida a substituição ou a apresentação de novos documentos, salvo em sede de diligência, para (Lei 14.133/21, art. 64):</w:t>
      </w:r>
    </w:p>
    <w:p w14:paraId="37C65288"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a) Complementação de informações acerca dos documentos já apresentados pelos licitantes e desde que necessária para apurar fatos existentes à época da abertura do certame; e</w:t>
      </w:r>
    </w:p>
    <w:p w14:paraId="4E590622" w14:textId="77777777" w:rsidR="008E40CE" w:rsidRPr="008E40CE" w:rsidRDefault="008E40CE" w:rsidP="008E40CE">
      <w:pPr>
        <w:pStyle w:val="SemEspaamento"/>
        <w:ind w:right="-568"/>
        <w:jc w:val="both"/>
        <w:rPr>
          <w:rFonts w:ascii="Arial Narrow" w:hAnsi="Arial Narrow"/>
          <w:sz w:val="24"/>
          <w:szCs w:val="24"/>
        </w:rPr>
      </w:pPr>
      <w:r w:rsidRPr="008E40CE">
        <w:rPr>
          <w:rFonts w:ascii="Arial Narrow" w:hAnsi="Arial Narrow"/>
          <w:sz w:val="24"/>
          <w:szCs w:val="24"/>
        </w:rPr>
        <w:t>b) Atualização de documentos cuja validade tenha expirado após a data de recebimento das propostas;</w:t>
      </w:r>
    </w:p>
    <w:p w14:paraId="484D35FF" w14:textId="612C801E" w:rsidR="008E40CE" w:rsidRPr="008E40CE" w:rsidRDefault="003367DF" w:rsidP="008E40CE">
      <w:pPr>
        <w:pStyle w:val="SemEspaamento"/>
        <w:ind w:right="-568"/>
        <w:jc w:val="both"/>
        <w:rPr>
          <w:rFonts w:ascii="Arial Narrow" w:hAnsi="Arial Narrow"/>
          <w:sz w:val="24"/>
          <w:szCs w:val="24"/>
        </w:rPr>
      </w:pPr>
      <w:r>
        <w:rPr>
          <w:rFonts w:ascii="Arial Narrow" w:hAnsi="Arial Narrow"/>
          <w:sz w:val="24"/>
          <w:szCs w:val="24"/>
        </w:rPr>
        <w:t>4.2</w:t>
      </w:r>
      <w:r w:rsidR="009718A0">
        <w:rPr>
          <w:rFonts w:ascii="Arial Narrow" w:hAnsi="Arial Narrow"/>
          <w:sz w:val="24"/>
          <w:szCs w:val="24"/>
        </w:rPr>
        <w:t>9</w:t>
      </w:r>
      <w:r w:rsidR="008E40CE" w:rsidRPr="008E40CE">
        <w:rPr>
          <w:rFonts w:ascii="Arial Narrow" w:hAnsi="Arial Narrow"/>
          <w:sz w:val="24"/>
          <w:szCs w:val="24"/>
        </w:rPr>
        <w:t>. Na análise dos documentos de habilitação, o Pregoeiro ou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14:paraId="551D43D6" w14:textId="72F7F9A1" w:rsidR="008E40CE" w:rsidRPr="008E40CE" w:rsidRDefault="003367DF" w:rsidP="008E40CE">
      <w:pPr>
        <w:pStyle w:val="SemEspaamento"/>
        <w:ind w:right="-568"/>
        <w:jc w:val="both"/>
        <w:rPr>
          <w:rFonts w:ascii="Arial Narrow" w:hAnsi="Arial Narrow"/>
          <w:sz w:val="24"/>
          <w:szCs w:val="24"/>
        </w:rPr>
      </w:pPr>
      <w:r>
        <w:rPr>
          <w:rFonts w:ascii="Arial Narrow" w:hAnsi="Arial Narrow"/>
          <w:sz w:val="24"/>
          <w:szCs w:val="24"/>
        </w:rPr>
        <w:t>4.</w:t>
      </w:r>
      <w:r w:rsidR="009718A0">
        <w:rPr>
          <w:rFonts w:ascii="Arial Narrow" w:hAnsi="Arial Narrow"/>
          <w:sz w:val="24"/>
          <w:szCs w:val="24"/>
        </w:rPr>
        <w:t>30</w:t>
      </w:r>
      <w:r w:rsidR="008E40CE" w:rsidRPr="008E40CE">
        <w:rPr>
          <w:rFonts w:ascii="Arial Narrow" w:hAnsi="Arial Narrow"/>
          <w:sz w:val="24"/>
          <w:szCs w:val="24"/>
        </w:rPr>
        <w:t>. Na hipótese de o licitante não atender às exigências para habilitação, o pregoeiro examinará a proposta subsequente e assim sucessivamente, na ordem de classificação, até a apuração de uma proposta que atenda ao presente edital.</w:t>
      </w:r>
    </w:p>
    <w:p w14:paraId="5EC05E87" w14:textId="232737E3" w:rsidR="009718A0" w:rsidRPr="008E40CE" w:rsidRDefault="003367DF" w:rsidP="003367DF">
      <w:pPr>
        <w:pStyle w:val="SemEspaamento"/>
        <w:ind w:right="-568"/>
        <w:jc w:val="both"/>
        <w:rPr>
          <w:rFonts w:ascii="Arial Narrow" w:hAnsi="Arial Narrow"/>
          <w:sz w:val="24"/>
          <w:szCs w:val="24"/>
        </w:rPr>
      </w:pPr>
      <w:r>
        <w:rPr>
          <w:rFonts w:ascii="Arial Narrow" w:hAnsi="Arial Narrow"/>
          <w:sz w:val="24"/>
          <w:szCs w:val="24"/>
        </w:rPr>
        <w:t>4.</w:t>
      </w:r>
      <w:r w:rsidR="009718A0">
        <w:rPr>
          <w:rFonts w:ascii="Arial Narrow" w:hAnsi="Arial Narrow"/>
          <w:sz w:val="24"/>
          <w:szCs w:val="24"/>
        </w:rPr>
        <w:t>31</w:t>
      </w:r>
      <w:r w:rsidR="008E40CE" w:rsidRPr="008E40CE">
        <w:rPr>
          <w:rFonts w:ascii="Arial Narrow" w:hAnsi="Arial Narrow"/>
          <w:sz w:val="24"/>
          <w:szCs w:val="24"/>
        </w:rPr>
        <w:t>. Somente serão disponibilizados para acesso público os documentos de habilitação do licitante cuja proposta atenda ao edital de licitação, após concluídos os procedimentos de que trata o subitem anterior.</w:t>
      </w:r>
    </w:p>
    <w:sectPr w:rsidR="009718A0" w:rsidRPr="008E40CE" w:rsidSect="008E40CE">
      <w:headerReference w:type="default" r:id="rId6"/>
      <w:pgSz w:w="11906" w:h="16838"/>
      <w:pgMar w:top="1417" w:right="1701" w:bottom="141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FC4D" w14:textId="77777777" w:rsidR="008E40CE" w:rsidRDefault="008E40CE" w:rsidP="008E40CE">
      <w:pPr>
        <w:spacing w:after="0" w:line="240" w:lineRule="auto"/>
      </w:pPr>
      <w:r>
        <w:separator/>
      </w:r>
    </w:p>
  </w:endnote>
  <w:endnote w:type="continuationSeparator" w:id="0">
    <w:p w14:paraId="73EB0616" w14:textId="77777777" w:rsidR="008E40CE" w:rsidRDefault="008E40CE" w:rsidP="008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41E14" w14:textId="77777777" w:rsidR="008E40CE" w:rsidRDefault="008E40CE" w:rsidP="008E40CE">
      <w:pPr>
        <w:spacing w:after="0" w:line="240" w:lineRule="auto"/>
      </w:pPr>
      <w:r>
        <w:separator/>
      </w:r>
    </w:p>
  </w:footnote>
  <w:footnote w:type="continuationSeparator" w:id="0">
    <w:p w14:paraId="138E6A0E" w14:textId="77777777" w:rsidR="008E40CE" w:rsidRDefault="008E40CE" w:rsidP="008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5857" w14:textId="77777777" w:rsidR="008E40CE" w:rsidRDefault="008E40CE" w:rsidP="008E40CE">
    <w:pPr>
      <w:pStyle w:val="Cabealho"/>
      <w:jc w:val="center"/>
      <w:rPr>
        <w:b/>
        <w:sz w:val="40"/>
      </w:rPr>
    </w:pPr>
    <w:r>
      <w:rPr>
        <w:noProof/>
        <w:lang w:eastAsia="pt-BR"/>
      </w:rPr>
      <w:drawing>
        <wp:inline distT="0" distB="0" distL="0" distR="0" wp14:anchorId="59420AFC" wp14:editId="55AC533E">
          <wp:extent cx="640080" cy="685800"/>
          <wp:effectExtent l="0" t="0" r="762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a:ln>
                    <a:noFill/>
                  </a:ln>
                </pic:spPr>
              </pic:pic>
            </a:graphicData>
          </a:graphic>
        </wp:inline>
      </w:drawing>
    </w:r>
  </w:p>
  <w:p w14:paraId="23D3E3EA" w14:textId="77777777" w:rsidR="008E40CE" w:rsidRDefault="008E40CE" w:rsidP="008E40CE">
    <w:pPr>
      <w:pStyle w:val="Cabealho"/>
      <w:jc w:val="center"/>
      <w:rPr>
        <w:b/>
        <w:sz w:val="40"/>
      </w:rPr>
    </w:pPr>
    <w:r>
      <w:rPr>
        <w:b/>
        <w:sz w:val="40"/>
      </w:rPr>
      <w:t>CÂMARA MUNICIPAL DE CARAMBEÍ</w:t>
    </w:r>
  </w:p>
  <w:p w14:paraId="12DB477A" w14:textId="77777777" w:rsidR="008E40CE" w:rsidRPr="00EC0327" w:rsidRDefault="008E40CE" w:rsidP="008E40CE">
    <w:pPr>
      <w:pStyle w:val="Cabealho"/>
      <w:jc w:val="center"/>
      <w:rPr>
        <w:rFonts w:ascii="Calibri" w:hAnsi="Calibri" w:cs="Calibri"/>
        <w:bCs/>
        <w:sz w:val="20"/>
        <w:szCs w:val="8"/>
      </w:rPr>
    </w:pPr>
    <w:r w:rsidRPr="00EC0327">
      <w:rPr>
        <w:rFonts w:ascii="Calibri" w:hAnsi="Calibri" w:cs="Calibri"/>
        <w:bCs/>
        <w:sz w:val="20"/>
        <w:szCs w:val="8"/>
      </w:rPr>
      <w:t xml:space="preserve">Rua da Prata, 99 – Carambeí – Paraná - </w:t>
    </w:r>
    <w:hyperlink r:id="rId2" w:history="1">
      <w:r w:rsidRPr="00EC0327">
        <w:rPr>
          <w:rStyle w:val="Hyperlink"/>
          <w:rFonts w:ascii="Calibri" w:hAnsi="Calibri" w:cs="Calibri"/>
          <w:bCs/>
          <w:sz w:val="20"/>
          <w:szCs w:val="8"/>
        </w:rPr>
        <w:t>www.carambei.pr.leg.br</w:t>
      </w:r>
    </w:hyperlink>
  </w:p>
  <w:p w14:paraId="0151C108" w14:textId="77777777" w:rsidR="008E40CE" w:rsidRPr="00EC0327" w:rsidRDefault="008E40CE" w:rsidP="008E40CE">
    <w:pPr>
      <w:pStyle w:val="Rodap"/>
      <w:tabs>
        <w:tab w:val="left" w:pos="3156"/>
      </w:tabs>
      <w:jc w:val="center"/>
      <w:rPr>
        <w:rFonts w:ascii="Calibri" w:hAnsi="Calibri" w:cs="Calibri"/>
        <w:bCs/>
        <w:sz w:val="20"/>
        <w:szCs w:val="16"/>
        <w:lang w:val="en-US"/>
      </w:rPr>
    </w:pPr>
    <w:r w:rsidRPr="00EC0327">
      <w:rPr>
        <w:rFonts w:ascii="Calibri" w:hAnsi="Calibri" w:cs="Calibri"/>
        <w:bCs/>
        <w:sz w:val="20"/>
        <w:szCs w:val="16"/>
        <w:lang w:val="en-US"/>
      </w:rPr>
      <w:t xml:space="preserve">Email: </w:t>
    </w:r>
    <w:hyperlink r:id="rId3" w:history="1">
      <w:r w:rsidRPr="00EC0327">
        <w:rPr>
          <w:rStyle w:val="Hyperlink"/>
          <w:rFonts w:ascii="Calibri" w:hAnsi="Calibri" w:cs="Calibri"/>
          <w:bCs/>
          <w:sz w:val="20"/>
          <w:szCs w:val="16"/>
          <w:lang w:val="en-US"/>
        </w:rPr>
        <w:t>camara@carambei.pr.leg.br</w:t>
      </w:r>
    </w:hyperlink>
    <w:r w:rsidRPr="00EC0327">
      <w:rPr>
        <w:rFonts w:ascii="Calibri" w:hAnsi="Calibri" w:cs="Calibri"/>
        <w:bCs/>
        <w:sz w:val="20"/>
        <w:szCs w:val="16"/>
        <w:lang w:val="en-US"/>
      </w:rPr>
      <w:t xml:space="preserve"> – Fone: 42 3122-3100</w:t>
    </w:r>
  </w:p>
  <w:p w14:paraId="3866FBBD" w14:textId="77777777" w:rsidR="008E40CE" w:rsidRPr="008E40CE" w:rsidRDefault="008E40CE" w:rsidP="008E40CE">
    <w:pPr>
      <w:pStyle w:val="Cabealho"/>
      <w:pBdr>
        <w:bottom w:val="single" w:sz="4" w:space="1" w:color="auto"/>
      </w:pBdr>
      <w:jc w:val="center"/>
      <w:rPr>
        <w:rFonts w:ascii="Arial Narrow" w:hAnsi="Arial Narrow"/>
        <w:sz w:val="28"/>
      </w:rPr>
    </w:pPr>
    <w:r w:rsidRPr="008E40CE">
      <w:rPr>
        <w:rFonts w:ascii="Arial Narrow" w:hAnsi="Arial Narrow"/>
        <w:sz w:val="28"/>
      </w:rPr>
      <w:t>ANEXO 04 - HABILITAÇÃO</w:t>
    </w:r>
  </w:p>
  <w:p w14:paraId="61D46577" w14:textId="77777777" w:rsidR="008E40CE" w:rsidRDefault="008E40C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0CE"/>
    <w:rsid w:val="002F244E"/>
    <w:rsid w:val="00301340"/>
    <w:rsid w:val="003367DF"/>
    <w:rsid w:val="0055642E"/>
    <w:rsid w:val="005B5A0E"/>
    <w:rsid w:val="00644892"/>
    <w:rsid w:val="006A0B16"/>
    <w:rsid w:val="00791C56"/>
    <w:rsid w:val="007A12D3"/>
    <w:rsid w:val="007E39A6"/>
    <w:rsid w:val="007F4E3B"/>
    <w:rsid w:val="008567E4"/>
    <w:rsid w:val="008E40CE"/>
    <w:rsid w:val="009718A0"/>
    <w:rsid w:val="00A721D3"/>
    <w:rsid w:val="00A7749B"/>
    <w:rsid w:val="00C0106F"/>
    <w:rsid w:val="00C05AF8"/>
    <w:rsid w:val="00D83040"/>
    <w:rsid w:val="00FD1A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F5573"/>
  <w15:docId w15:val="{B54DD5A3-AD48-475F-959E-63E8E65B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40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40CE"/>
  </w:style>
  <w:style w:type="paragraph" w:styleId="Rodap">
    <w:name w:val="footer"/>
    <w:basedOn w:val="Normal"/>
    <w:link w:val="RodapChar"/>
    <w:uiPriority w:val="99"/>
    <w:unhideWhenUsed/>
    <w:rsid w:val="008E40CE"/>
    <w:pPr>
      <w:tabs>
        <w:tab w:val="center" w:pos="4252"/>
        <w:tab w:val="right" w:pos="8504"/>
      </w:tabs>
      <w:spacing w:after="0" w:line="240" w:lineRule="auto"/>
    </w:pPr>
  </w:style>
  <w:style w:type="character" w:customStyle="1" w:styleId="RodapChar">
    <w:name w:val="Rodapé Char"/>
    <w:basedOn w:val="Fontepargpadro"/>
    <w:link w:val="Rodap"/>
    <w:uiPriority w:val="99"/>
    <w:rsid w:val="008E40CE"/>
  </w:style>
  <w:style w:type="character" w:styleId="Hyperlink">
    <w:name w:val="Hyperlink"/>
    <w:basedOn w:val="Fontepargpadro"/>
    <w:uiPriority w:val="99"/>
    <w:rsid w:val="008E40CE"/>
    <w:rPr>
      <w:rFonts w:cs="Times New Roman"/>
      <w:color w:val="0066CC"/>
      <w:u w:val="single"/>
    </w:rPr>
  </w:style>
  <w:style w:type="paragraph" w:styleId="Textodebalo">
    <w:name w:val="Balloon Text"/>
    <w:basedOn w:val="Normal"/>
    <w:link w:val="TextodebaloChar"/>
    <w:uiPriority w:val="99"/>
    <w:semiHidden/>
    <w:unhideWhenUsed/>
    <w:rsid w:val="008E40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E40CE"/>
    <w:rPr>
      <w:rFonts w:ascii="Tahoma" w:hAnsi="Tahoma" w:cs="Tahoma"/>
      <w:sz w:val="16"/>
      <w:szCs w:val="16"/>
    </w:rPr>
  </w:style>
  <w:style w:type="paragraph" w:customStyle="1" w:styleId="Default">
    <w:name w:val="Default"/>
    <w:rsid w:val="008E40CE"/>
    <w:pPr>
      <w:autoSpaceDE w:val="0"/>
      <w:autoSpaceDN w:val="0"/>
      <w:adjustRightInd w:val="0"/>
      <w:spacing w:after="0" w:line="240" w:lineRule="auto"/>
    </w:pPr>
    <w:rPr>
      <w:rFonts w:ascii="Arial" w:hAnsi="Arial" w:cs="Arial"/>
      <w:color w:val="000000"/>
      <w:sz w:val="24"/>
      <w:szCs w:val="24"/>
    </w:rPr>
  </w:style>
  <w:style w:type="paragraph" w:styleId="SemEspaamento">
    <w:name w:val="No Spacing"/>
    <w:uiPriority w:val="1"/>
    <w:qFormat/>
    <w:rsid w:val="008E40CE"/>
    <w:pPr>
      <w:spacing w:after="0" w:line="240" w:lineRule="auto"/>
    </w:pPr>
  </w:style>
  <w:style w:type="paragraph" w:customStyle="1" w:styleId="pspdfkit-8ayy4hjz5h5sb5mqfjxzpc42zw">
    <w:name w:val="pspdfkit-8ayy4hjz5h5sb5mqfjxzpc42zw"/>
    <w:basedOn w:val="Normal"/>
    <w:rsid w:val="005B5A0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camara@carambei.pr.leg.br" TargetMode="External"/><Relationship Id="rId2" Type="http://schemas.openxmlformats.org/officeDocument/2006/relationships/hyperlink" Target="http://www.carambei.pr.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2901</Words>
  <Characters>15670</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Câmara</cp:lastModifiedBy>
  <cp:revision>8</cp:revision>
  <dcterms:created xsi:type="dcterms:W3CDTF">2025-02-13T14:52:00Z</dcterms:created>
  <dcterms:modified xsi:type="dcterms:W3CDTF">2026-02-22T20:12:00Z</dcterms:modified>
</cp:coreProperties>
</file>